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d706bfa69436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prescription—eligibility card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prescription—eligibility card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eligibility card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card type; Pharmaceutical Benefits Scheme card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84d5f61dd43b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eligibility card held by the patient or Pharmaceutical Benefits Scheme (PBS) consumer for whom the claim for a PBS benefit is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a317c609984677">
              <w:r>
                <w:rPr>
                  <w:rStyle w:val="Hyperlink"/>
                </w:rPr>
                <w:t xml:space="preserve">Pharmaceutical Benefits Scheme (PBS) prescription—eligibility card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9800ffd9fa4d8e">
              <w:r>
                <w:rPr>
                  <w:rStyle w:val="Hyperlink"/>
                </w:rPr>
                <w:t xml:space="preserve">Pharmaceutical Benefits Scheme (PBS) eligibility card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BC</w:t>
            </w:r>
          </w:p>
        </w:tc>
        <w:tc>
          <w:tcPr>
            <w:tcBorders>
              <w:top w:val="none" w:color="000000" w:sz="0"/>
              <w:left w:val="none" w:color="000000" w:sz="0"/>
              <w:bottom w:val="none" w:color="000000" w:sz="0"/>
              <w:right w:val="none" w:color="000000" w:sz="0"/>
            </w:tcBorders>
            <w:vAlign w:val="top"/>
          </w:tcPr>
          <w:p>
            <w:r>
              <w:t xml:space="preserve">Department of Veterans' Affairs (Repatriation Pharmaceutical Benefits Scheme or 'Orange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Pharmaceutical Benefits Scheme concessional entitlement (Department of Human Services -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w:t>
            </w:r>
          </w:p>
        </w:tc>
        <w:tc>
          <w:tcPr>
            <w:tcBorders>
              <w:top w:val="none" w:color="000000" w:sz="0"/>
              <w:left w:val="none" w:color="000000" w:sz="0"/>
              <w:bottom w:val="none" w:color="000000" w:sz="0"/>
              <w:right w:val="none" w:color="000000" w:sz="0"/>
            </w:tcBorders>
            <w:vAlign w:val="top"/>
          </w:tcPr>
          <w:p>
            <w:r>
              <w:t xml:space="preserve">Dependant treatment entitlement (Department of Veterans' Affairs -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ET</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HB</w:t>
            </w:r>
          </w:p>
        </w:tc>
        <w:tc>
          <w:tcPr>
            <w:tcBorders>
              <w:top w:val="none" w:color="000000" w:sz="0"/>
              <w:left w:val="none" w:color="000000" w:sz="0"/>
              <w:bottom w:val="none" w:color="000000" w:sz="0"/>
              <w:right w:val="none" w:color="000000" w:sz="0"/>
            </w:tcBorders>
            <w:vAlign w:val="top"/>
          </w:tcPr>
          <w:p>
            <w:r>
              <w:t xml:space="preserve">Centrelink (Health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HC</w:t>
            </w:r>
          </w:p>
        </w:tc>
        <w:tc>
          <w:tcPr>
            <w:tcBorders>
              <w:top w:val="none" w:color="000000" w:sz="0"/>
              <w:left w:val="none" w:color="000000" w:sz="0"/>
              <w:bottom w:val="none" w:color="000000" w:sz="0"/>
              <w:right w:val="none" w:color="000000" w:sz="0"/>
            </w:tcBorders>
            <w:vAlign w:val="top"/>
          </w:tcPr>
          <w:p>
            <w:r>
              <w:t xml:space="preserve">Centrelink (Health 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JT</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w:t>
            </w:r>
          </w:p>
        </w:tc>
        <w:tc>
          <w:tcPr>
            <w:tcBorders>
              <w:top w:val="none" w:color="000000" w:sz="0"/>
              <w:left w:val="none" w:color="000000" w:sz="0"/>
              <w:bottom w:val="none" w:color="000000" w:sz="0"/>
              <w:right w:val="none" w:color="000000" w:sz="0"/>
            </w:tcBorders>
            <w:vAlign w:val="top"/>
          </w:tcPr>
          <w:p>
            <w:r>
              <w:t xml:space="preserve">Medicare (general entitlement)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Ostomy membership (colostomy/ileostomy)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w:t>
            </w:r>
          </w:p>
        </w:tc>
        <w:tc>
          <w:tcPr>
            <w:tcBorders>
              <w:top w:val="none" w:color="000000" w:sz="0"/>
              <w:left w:val="none" w:color="000000" w:sz="0"/>
              <w:bottom w:val="none" w:color="000000" w:sz="0"/>
              <w:right w:val="none" w:color="000000" w:sz="0"/>
            </w:tcBorders>
            <w:vAlign w:val="top"/>
          </w:tcPr>
          <w:p>
            <w:r>
              <w:t xml:space="preserve">Pensioner concession (Department of Social Services - DSS,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w:t>
            </w:r>
          </w:p>
        </w:tc>
        <w:tc>
          <w:tcPr>
            <w:tcBorders>
              <w:top w:val="none" w:color="000000" w:sz="0"/>
              <w:left w:val="none" w:color="000000" w:sz="0"/>
              <w:bottom w:val="none" w:color="000000" w:sz="0"/>
              <w:right w:val="none" w:color="000000" w:sz="0"/>
            </w:tcBorders>
            <w:vAlign w:val="top"/>
          </w:tcPr>
          <w:p>
            <w:r>
              <w:t xml:space="preserve">Combined Pensioner concession/Senior Health Care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w:t>
            </w:r>
          </w:p>
        </w:tc>
        <w:tc>
          <w:tcPr>
            <w:tcBorders>
              <w:top w:val="none" w:color="000000" w:sz="0"/>
              <w:left w:val="none" w:color="000000" w:sz="0"/>
              <w:bottom w:val="none" w:color="000000" w:sz="0"/>
              <w:right w:val="none" w:color="000000" w:sz="0"/>
            </w:tcBorders>
            <w:vAlign w:val="top"/>
          </w:tcPr>
          <w:p>
            <w:r>
              <w:t xml:space="preserve">DVA (Pensioner treatment entitlement card (PTEC) or 'Gold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w:t>
            </w:r>
          </w:p>
        </w:tc>
        <w:tc>
          <w:tcPr>
            <w:tcBorders>
              <w:top w:val="none" w:color="000000" w:sz="0"/>
              <w:left w:val="none" w:color="000000" w:sz="0"/>
              <w:bottom w:val="none" w:color="000000" w:sz="0"/>
              <w:right w:val="none" w:color="000000" w:sz="0"/>
            </w:tcBorders>
            <w:vAlign w:val="top"/>
          </w:tcPr>
          <w:p>
            <w:r>
              <w:t xml:space="preserve">Dependant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Pensioner health benefits (DSS)/Centrelink (Seniors'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w:t>
            </w:r>
          </w:p>
        </w:tc>
        <w:tc>
          <w:tcPr>
            <w:tcBorders>
              <w:top w:val="none" w:color="000000" w:sz="0"/>
              <w:left w:val="none" w:color="000000" w:sz="0"/>
              <w:bottom w:val="none" w:color="000000" w:sz="0"/>
              <w:right w:val="none" w:color="000000" w:sz="0"/>
            </w:tcBorders>
            <w:vAlign w:val="top"/>
          </w:tcPr>
          <w:p>
            <w:r>
              <w:t xml:space="preserve">Pharmaceutical benefits concession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w:t>
            </w:r>
          </w:p>
        </w:tc>
        <w:tc>
          <w:tcPr>
            <w:tcBorders>
              <w:top w:val="none" w:color="000000" w:sz="0"/>
              <w:left w:val="none" w:color="000000" w:sz="0"/>
              <w:bottom w:val="none" w:color="000000" w:sz="0"/>
              <w:right w:val="none" w:color="000000" w:sz="0"/>
            </w:tcBorders>
            <w:vAlign w:val="top"/>
          </w:tcPr>
          <w:p>
            <w:r>
              <w:t xml:space="preserve">Centrelink (Senior Health Card) or DVA (Senior Health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w:t>
            </w:r>
          </w:p>
        </w:tc>
        <w:tc>
          <w:tcPr>
            <w:tcBorders>
              <w:top w:val="none" w:color="000000" w:sz="0"/>
              <w:left w:val="none" w:color="000000" w:sz="0"/>
              <w:bottom w:val="none" w:color="000000" w:sz="0"/>
              <w:right w:val="none" w:color="000000" w:sz="0"/>
            </w:tcBorders>
            <w:vAlign w:val="top"/>
          </w:tcPr>
          <w:p>
            <w:r>
              <w:t xml:space="preserve">Pharmaceutical Benefit Safety Net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w:t>
            </w:r>
          </w:p>
        </w:tc>
        <w:tc>
          <w:tcPr>
            <w:tcBorders>
              <w:top w:val="none" w:color="000000" w:sz="0"/>
              <w:left w:val="none" w:color="000000" w:sz="0"/>
              <w:bottom w:val="none" w:color="000000" w:sz="0"/>
              <w:right w:val="none" w:color="000000" w:sz="0"/>
            </w:tcBorders>
            <w:vAlign w:val="top"/>
          </w:tcPr>
          <w:p>
            <w:r>
              <w:t xml:space="preserve">Service pension benefit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DVA (Specific treatment entitlement card (STEC) or 'White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VB</w:t>
            </w:r>
          </w:p>
        </w:tc>
        <w:tc>
          <w:tcPr>
            <w:tcBorders>
              <w:top w:val="none" w:color="000000" w:sz="0"/>
              <w:left w:val="none" w:color="000000" w:sz="0"/>
              <w:bottom w:val="none" w:color="000000" w:sz="0"/>
              <w:right w:val="none" w:color="000000" w:sz="0"/>
            </w:tcBorders>
            <w:vAlign w:val="top"/>
          </w:tcPr>
          <w:p>
            <w:r>
              <w:t xml:space="preserve">Pensioner health benefits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2 blanks</w:t>
            </w:r>
            <w:r>
              <w:br/>
            </w:r>
            <w:r>
              <w:t xml:space="preserve"> </w:t>
            </w:r>
          </w:p>
        </w:tc>
        <w:tc>
          <w:tcPr>
            <w:tcBorders>
              <w:top w:val="none" w:color="000000" w:sz="0"/>
              <w:left w:val="none" w:color="000000" w:sz="0"/>
              <w:bottom w:val="none" w:color="000000" w:sz="0"/>
              <w:right w:val="none" w:color="000000" w:sz="0"/>
            </w:tcBorders>
            <w:vAlign w:val="top"/>
          </w:tcPr>
          <w:p>
            <w:r>
              <w:t xml:space="preserve">Not available/Not applicable/Unknown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government-based assistance or benefits schemes typically require the presentation of an eligibility card of some sort at the time of the service being provided, to establish the eligibility of the cardholder in relation to receipt of the service or any associated benefit or subsidy.</w:t>
            </w:r>
          </w:p>
          <w:p>
            <w:pPr>
              <w:spacing w:after="160"/>
            </w:pPr>
            <w:r>
              <w:rPr>
                <w:rStyle w:val="row-content-rich-text"/>
              </w:rPr>
              <w:t xml:space="preserve">For example, a Medicare card must be presented either by on or the behalf of a patient visiting a general practitioner in order for a claim to be made for benefits available under the Medicare Benefits Schedule (MBS).</w:t>
            </w:r>
          </w:p>
          <w:p>
            <w:pPr/>
            <w:r>
              <w:rPr>
                <w:rStyle w:val="row-content-rich-text"/>
              </w:rPr>
              <w:t xml:space="preserve">Similarly, benefits available through the Pharmaceutical Benefits Scheme (PBS) can only be claimed upon presentation of a valid Medicare card and/or another applicable concession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ce37aa856429f">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4a66914ece064be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PBS_CRD_TYP_CD</w:t>
            </w:r>
          </w:p>
          <w:p>
            <w:r>
              <w:rPr>
                <w:rStyle w:val="row-content"/>
              </w:rPr>
              <w:t xml:space="preserve">In the context of the PBS information provided to the Department of Health by the Department of Human Services for the 2013-14 financial year, all data records contain Code 'MC' (Medicare), regardless of whether more than one type of eligibility card was presented by the PBS consumer.</w:t>
            </w:r>
          </w:p>
          <w:p>
            <w:r>
              <w:rPr>
                <w:rStyle w:val="row-content"/>
              </w:rPr>
              <w:t xml:space="preserve">In theory, this data item should contain either 'MC' for most prescriptions, i.e. those prescriptions where only a Medicare card was presented, or the code representing any other eligibility card presented along with the Medicare card. However, this is known to not be the case.</w:t>
            </w:r>
          </w:p>
          <w:p>
            <w:r>
              <w:br/>
            </w:r>
            <w:r>
              <w:br/>
            </w:r>
          </w:p>
        </w:tc>
      </w:tr>
    </w:tbl>
    <w:p/>
    <w:tbl>
      <w:tblPr>
        <w:tblStyle w:val="TableGrid"/>
        <w:tblW w:w="0" w:type="auto"/>
      </w:tblPr>
    </w:tbl>
    <w:p>
      <w:r>
        <w:br/>
      </w:r>
    </w:p>
    <w:sectPr>
      <w:footerReference xmlns:r="http://schemas.openxmlformats.org/officeDocument/2006/relationships" w:type="default" r:id="R614a47fd250d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cdfa157d7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a47fd250d45c8" /><Relationship Type="http://schemas.openxmlformats.org/officeDocument/2006/relationships/header" Target="/word/header1.xml" Id="Rf593f655ab3d4867" /><Relationship Type="http://schemas.openxmlformats.org/officeDocument/2006/relationships/settings" Target="/word/settings.xml" Id="R6793d2f12769442b" /><Relationship Type="http://schemas.openxmlformats.org/officeDocument/2006/relationships/styles" Target="/word/styles.xml" Id="R30ba1aed774e4ba8" /><Relationship Type="http://schemas.openxmlformats.org/officeDocument/2006/relationships/hyperlink" Target="https://meteor.aihw.gov.au/RegistrationAuthority/10" TargetMode="External" Id="R8c784d5f61dd43bd" /><Relationship Type="http://schemas.openxmlformats.org/officeDocument/2006/relationships/hyperlink" Target="https://meteor.aihw.gov.au/content/605146" TargetMode="External" Id="Rb9a317c609984677" /><Relationship Type="http://schemas.openxmlformats.org/officeDocument/2006/relationships/hyperlink" Target="https://meteor.aihw.gov.au/content/605103" TargetMode="External" Id="Rff9800ffd9fa4d8e" /><Relationship Type="http://schemas.openxmlformats.org/officeDocument/2006/relationships/hyperlink" Target="https://meteor.aihw.gov.au/content/602524" TargetMode="External" Id="R74bce37aa856429f" /><Relationship Type="http://schemas.openxmlformats.org/officeDocument/2006/relationships/hyperlink" Target="https://meteor.aihw.gov.au/RegistrationAuthority/10" TargetMode="External" Id="R4a66914ece064be0" /></Relationships>
</file>

<file path=word/_rels/header1.xml.rels>&#65279;<?xml version="1.0" encoding="utf-8"?><Relationships xmlns="http://schemas.openxmlformats.org/package/2006/relationships"><Relationship Type="http://schemas.openxmlformats.org/officeDocument/2006/relationships/image" Target="/media/image.png" Id="Rd64cdfa157d741ab" /></Relationships>
</file>