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d67c929f44c6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authorised medication supplies,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authorised medication supplies,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authorised medication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60c339110479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total number of times that the prescribed medicinal product is supplied to the patient or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2d858ae0f941b4">
              <w:r>
                <w:rPr>
                  <w:rStyle w:val="Hyperlink"/>
                </w:rPr>
                <w:t xml:space="preserve">Pharmaceutical Benefits Scheme (PBS) prescription—number of authorised medication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10e486ae2c4aef">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should be used in conjunction with the data item </w:t>
            </w:r>
            <w:hyperlink w:history="true" r:id="R73e2d3cb2f054a06">
              <w:r>
                <w:rPr>
                  <w:rStyle w:val="Hyperlink"/>
                </w:rPr>
                <w:t xml:space="preserve">Regulation 24 applicable indicator</w:t>
              </w:r>
            </w:hyperlink>
            <w:r>
              <w:rPr>
                <w:rStyle w:val="row-content-rich-text"/>
              </w:rPr>
              <w:t xml:space="preserve">.</w:t>
            </w:r>
          </w:p>
          <w:p>
            <w:pPr>
              <w:spacing w:after="160"/>
            </w:pPr>
            <w:r>
              <w:rPr>
                <w:rStyle w:val="row-content-rich-text"/>
              </w:rPr>
              <w:t xml:space="preserve">For 'single supply' prescriptions, i.e. those that specify an original supply only of the prescribed medicinal product with no repeats, this data item should have a value of 1.</w:t>
            </w:r>
          </w:p>
          <w:p>
            <w:pPr>
              <w:spacing w:after="160"/>
            </w:pPr>
            <w:r>
              <w:rPr>
                <w:rStyle w:val="row-content-rich-text"/>
              </w:rPr>
              <w:t xml:space="preserve">For repeat prescriptions, this data item should have either:</w:t>
            </w:r>
          </w:p>
          <w:p>
            <w:pPr>
              <w:pStyle w:val="ListParagraph"/>
              <w:numPr>
                <w:ilvl w:val="0"/>
                <w:numId w:val="2"/>
              </w:numPr>
            </w:pPr>
            <w:r>
              <w:rPr>
                <w:rStyle w:val="row-content-rich-text"/>
              </w:rPr>
              <w:t xml:space="preserve">a value of 1 for those prescriptions where </w:t>
            </w:r>
            <w:hyperlink w:history="true" r:id="R8815f91d51e945fd">
              <w:r>
                <w:rPr>
                  <w:rStyle w:val="Hyperlink"/>
                </w:rPr>
                <w:t xml:space="preserve">Regulation 24 applicable indicator</w:t>
              </w:r>
            </w:hyperlink>
            <w:r>
              <w:rPr>
                <w:rStyle w:val="row-content-rich-text"/>
              </w:rPr>
              <w:t xml:space="preserve"> has a negative response, or</w:t>
            </w:r>
          </w:p>
          <w:p>
            <w:pPr>
              <w:pStyle w:val="ListParagraph"/>
              <w:numPr>
                <w:ilvl w:val="0"/>
                <w:numId w:val="2"/>
              </w:numPr>
            </w:pPr>
            <w:r>
              <w:rPr>
                <w:rStyle w:val="row-content-rich-text"/>
              </w:rPr>
              <w:t xml:space="preserve">a value equivalent to 1 plus the number of repeats specified by the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d2abc14292e7435a">
              <w:r>
                <w:rPr>
                  <w:rStyle w:val="Hyperlink"/>
                  <w:b/>
                </w:rPr>
                <w:t xml:space="preserve">prescriber</w:t>
              </w:r>
            </w:hyperlink>
            <w:r>
              <w:rPr>
                <w:rStyle w:val="row-content-rich-text"/>
              </w:rPr>
              <w:t xml:space="preserve"> for those prescriptions where </w:t>
            </w:r>
            <w:hyperlink w:history="true" r:id="R3b0b664a694040e6">
              <w:r>
                <w:rPr>
                  <w:rStyle w:val="Hyperlink"/>
                </w:rPr>
                <w:t xml:space="preserve">Regulation 24 applicable indicator</w:t>
              </w:r>
            </w:hyperlink>
            <w:r>
              <w:rPr>
                <w:rStyle w:val="row-content-rich-text"/>
              </w:rPr>
              <w:t xml:space="preserve"> has a positive response, e.g. for a prescription where 5 repeats are specified by the prescriber and the Regulation 24 applicable indicator has a positive response, this data should have a value of 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5dcfad794d46f0">
              <w:r>
                <w:rPr>
                  <w:rStyle w:val="Hyperlink"/>
                </w:rPr>
                <w:t xml:space="preserve">Pharmaceutical Benefits Scheme (PBS) prescription—Regulation 24 applicable indicator, yes/no code A</w:t>
              </w:r>
            </w:hyperlink>
          </w:p>
          <w:p>
            <w:pPr>
              <w:spacing w:before="0" w:after="0"/>
            </w:pPr>
            <w:r>
              <w:rPr>
                <w:rStyle w:val="row-content"/>
                <w:color w:val="244061"/>
              </w:rPr>
              <w:t xml:space="preserve">       </w:t>
            </w:r>
            <w:hyperlink w:history="true" r:id="R3338339ea9cd4dad">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6de1f6de042be">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811ed7c51784a8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PRSCRPTN_CNT</w:t>
            </w:r>
          </w:p>
          <w:p>
            <w:r>
              <w:br/>
            </w:r>
            <w:r>
              <w:br/>
            </w:r>
          </w:p>
        </w:tc>
      </w:tr>
    </w:tbl>
    <w:p/>
    <w:tbl>
      <w:tblPr>
        <w:tblStyle w:val="TableGrid"/>
        <w:tblW w:w="0" w:type="auto"/>
      </w:tblPr>
    </w:tbl>
    <w:p>
      <w:r>
        <w:br/>
      </w:r>
    </w:p>
    <w:sectPr>
      <w:footerReference xmlns:r="http://schemas.openxmlformats.org/officeDocument/2006/relationships" w:type="default" r:id="Rb87681efe89e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dec0f8ad4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681efe89e466b" /><Relationship Type="http://schemas.openxmlformats.org/officeDocument/2006/relationships/header" Target="/word/header1.xml" Id="R37ea060ac1ca4e8e" /><Relationship Type="http://schemas.openxmlformats.org/officeDocument/2006/relationships/settings" Target="/word/settings.xml" Id="R5b4e45b69e4e4346" /><Relationship Type="http://schemas.openxmlformats.org/officeDocument/2006/relationships/styles" Target="/word/styles.xml" Id="Rcc2e899583e747c0" /><Relationship Type="http://schemas.openxmlformats.org/officeDocument/2006/relationships/hyperlink" Target="https://meteor.aihw.gov.au/RegistrationAuthority/10" TargetMode="External" Id="R83b60c3391104795" /><Relationship Type="http://schemas.openxmlformats.org/officeDocument/2006/relationships/hyperlink" Target="https://meteor.aihw.gov.au/content/605069" TargetMode="External" Id="R492d858ae0f941b4" /><Relationship Type="http://schemas.openxmlformats.org/officeDocument/2006/relationships/hyperlink" Target="https://meteor.aihw.gov.au/content/347205" TargetMode="External" Id="Rde10e486ae2c4aef" /><Relationship Type="http://schemas.openxmlformats.org/officeDocument/2006/relationships/hyperlink" Target="https://meteor.aihw.gov.au/content/601746" TargetMode="External" Id="R73e2d3cb2f054a06" /><Relationship Type="http://schemas.openxmlformats.org/officeDocument/2006/relationships/numbering" Target="/word/numbering.xml" Id="R7941598b1aa24598" /><Relationship Type="http://schemas.openxmlformats.org/officeDocument/2006/relationships/hyperlink" Target="https://meteor.aihw.gov.au/content/601746" TargetMode="External" Id="R8815f91d51e945fd" /><Relationship Type="http://schemas.openxmlformats.org/officeDocument/2006/relationships/hyperlink" Target="https://meteor.aihw.gov.au/content/606757" TargetMode="External" Id="Rd2abc14292e7435a" /><Relationship Type="http://schemas.openxmlformats.org/officeDocument/2006/relationships/hyperlink" Target="https://meteor.aihw.gov.au/content/601746" TargetMode="External" Id="R3b0b664a694040e6" /><Relationship Type="http://schemas.openxmlformats.org/officeDocument/2006/relationships/hyperlink" Target="https://meteor.aihw.gov.au/content/601746" TargetMode="External" Id="Rac5dcfad794d46f0" /><Relationship Type="http://schemas.openxmlformats.org/officeDocument/2006/relationships/hyperlink" Target="https://meteor.aihw.gov.au/RegistrationAuthority/10" TargetMode="External" Id="R3338339ea9cd4dad" /><Relationship Type="http://schemas.openxmlformats.org/officeDocument/2006/relationships/hyperlink" Target="https://meteor.aihw.gov.au/content/602524" TargetMode="External" Id="R73d6de1f6de042be" /><Relationship Type="http://schemas.openxmlformats.org/officeDocument/2006/relationships/hyperlink" Target="https://meteor.aihw.gov.au/RegistrationAuthority/10" TargetMode="External" Id="Ra811ed7c51784a8a" /></Relationships>
</file>

<file path=word/_rels/header1.xml.rels>&#65279;<?xml version="1.0" encoding="utf-8"?><Relationships xmlns="http://schemas.openxmlformats.org/package/2006/relationships"><Relationship Type="http://schemas.openxmlformats.org/officeDocument/2006/relationships/image" Target="/media/image.png" Id="R98cdec0f8ad44739" /></Relationships>
</file>