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20d887f86f04f88" /></Relationships>
</file>

<file path=word/document.xml><?xml version="1.0" encoding="utf-8"?>
<w:document xmlns:r="http://schemas.openxmlformats.org/officeDocument/2006/relationships" xmlns:w="http://schemas.openxmlformats.org/wordprocessingml/2006/main">
  <w:body>
    <w:p>
      <w:pPr>
        <w:pStyle w:val="Title"/>
      </w:pPr>
      <w:r>
        <w:t>Closing the Gap co-payment eligibility code AAA[NNA]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Closing the Gap co-payment eligibility code AAA[NNA]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603677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12ae76c020f42fb">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representing eligibility for Closing the Gap (CTG) co-payment relief.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The CTG co-payment was established to reduce the cost of Pharmaceutical Benefits Scheme (PBS) medicines for eligible Aboriginal and Torres Strait Islander people either living with or at risk of chronic disease.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AAA[NNA]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6 spaces</w:t>
            </w:r>
            <w:r>
              <w:br/>
            </w:r>
            <w:r>
              <w:t xml:space="preserve"> </w:t>
            </w:r>
          </w:p>
        </w:tc>
        <w:tc>
          <w:tcPr>
            <w:tcBorders>
              <w:top w:val="none" w:color="000000" w:sz="0"/>
              <w:left w:val="none" w:color="000000" w:sz="0"/>
              <w:bottom w:val="none" w:color="000000" w:sz="0"/>
              <w:right w:val="none" w:color="000000" w:sz="0"/>
            </w:tcBorders>
            <w:vAlign w:val="top"/>
          </w:tcPr>
          <w:p>
            <w:r>
              <w:t xml:space="preserve">Not applicable, i.e. ineligible for Closing the Gap co-payment relief</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first three characters of the code should be 'CTG', followed by a two-digit number incremented within the practice of the prescriber each time an eligible prescription is written. The sixth character is an alphabetic check digit.</w:t>
            </w:r>
          </w:p>
          <w:p>
            <w:pPr>
              <w:spacing w:after="160"/>
            </w:pPr>
            <w:r>
              <w:rPr>
                <w:rStyle w:val="row-content-rich-text"/>
              </w:rPr>
              <w:t xml:space="preserve">After the numeric component of the codes used by the practice reaches '99', it resets to '01', i.e. the next code allocated by the practice would begin with 'CTG01'.</w:t>
            </w:r>
          </w:p>
          <w:p>
            <w:pPr/>
            <w:r>
              <w:rPr>
                <w:rStyle w:val="row-content-rich-text"/>
              </w:rPr>
              <w:t xml:space="preserve">It is possible for a practice to allocate the same six-digit code more than once on the same day, i.e. if 100 or more eligible prescriptions are written. However, the date of prescription forms part of the check digit calculation algorithm, so while eligible prescriptions written within a practice may share a common first five characters, the check digit should change from day to day.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b4e0df6144d43cd">
              <w:r>
                <w:rPr>
                  <w:rStyle w:val="Hyperlink"/>
                </w:rPr>
                <w:t xml:space="preserve">Patient—Closing the Gap co-payment eligibility indicator, code AAA[NNA]</w:t>
              </w:r>
            </w:hyperlink>
          </w:p>
          <w:p>
            <w:pPr>
              <w:spacing w:before="0" w:after="0"/>
            </w:pPr>
            <w:r>
              <w:rPr>
                <w:rStyle w:val="row-content"/>
                <w:color w:val="244061"/>
              </w:rPr>
              <w:t xml:space="preserve">       </w:t>
            </w:r>
            <w:hyperlink w:history="true" r:id="R55c63df408cf4aa6">
              <w:r>
                <w:rPr>
                  <w:rStyle w:val="Hyperlink"/>
                  <w:color w:val="244061"/>
                </w:rPr>
                <w:t xml:space="preserve">Commonwealth Department of Health</w:t>
              </w:r>
            </w:hyperlink>
            <w:r>
              <w:rPr>
                <w:rStyle w:val="row-content"/>
                <w:color w:val="244061"/>
              </w:rPr>
              <w:t xml:space="preserve">, Retired 19/10/2023</w:t>
            </w:r>
          </w:p>
          <w:p>
            <w:r>
              <w:br/>
            </w:r>
          </w:p>
        </w:tc>
      </w:tr>
    </w:tbl>
    <w:p>
      <w:r>
        <w:br/>
      </w:r>
    </w:p>
    <w:sectPr>
      <w:footerReference xmlns:r="http://schemas.openxmlformats.org/officeDocument/2006/relationships" w:type="default" r:id="R7f50ecc945734e9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603677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858be0e8552428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f50ecc945734e97" /><Relationship Type="http://schemas.openxmlformats.org/officeDocument/2006/relationships/header" Target="/word/header1.xml" Id="Re4df567ebc154902" /><Relationship Type="http://schemas.openxmlformats.org/officeDocument/2006/relationships/settings" Target="/word/settings.xml" Id="R34e6585f486b46ae" /><Relationship Type="http://schemas.openxmlformats.org/officeDocument/2006/relationships/styles" Target="/word/styles.xml" Id="R2af3ae7bbfd04a9b" /><Relationship Type="http://schemas.openxmlformats.org/officeDocument/2006/relationships/hyperlink" Target="https://meteor.aihw.gov.au/RegistrationAuthority/10" TargetMode="External" Id="R112ae76c020f42fb" /><Relationship Type="http://schemas.openxmlformats.org/officeDocument/2006/relationships/hyperlink" Target="https://meteor.aihw.gov.au/content/603679" TargetMode="External" Id="Rcb4e0df6144d43cd" /><Relationship Type="http://schemas.openxmlformats.org/officeDocument/2006/relationships/hyperlink" Target="https://meteor.aihw.gov.au/RegistrationAuthority/10" TargetMode="External" Id="R55c63df408cf4aa6" /></Relationships>
</file>

<file path=word/_rels/header1.xml.rels>&#65279;<?xml version="1.0" encoding="utf-8"?><Relationships xmlns="http://schemas.openxmlformats.org/package/2006/relationships"><Relationship Type="http://schemas.openxmlformats.org/officeDocument/2006/relationships/image" Target="/media/image.png" Id="R2858be0e85524286" /></Relationships>
</file>