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950bc4584c405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Total 'units of activity', Comparable Cost of Care,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Total 'units of activity', Comparable Cost of Care,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Total 'units of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8bd54bc39c4fb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'units of activity' measures the weighted activity of units in scope for the Comparable Cost of Care indicator. To enable fair comparisons, admitted patients are weighted based on the complexity of the patient as well as other patient specific costs drivers.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b20bbbaeeb49e4">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759fece5c6a74605">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80c5e37b936490f">
              <w:r>
                <w:rPr>
                  <w:rStyle w:val="Hyperlink"/>
                </w:rPr>
                <w:t xml:space="preserve">Hospital and Related Care</w:t>
              </w:r>
            </w:hyperlink>
          </w:p>
          <w:p>
            <w:pPr>
              <w:spacing w:before="0" w:after="0"/>
            </w:pPr>
            <w:r>
              <w:rPr>
                <w:rStyle w:val="row-content"/>
                <w:color w:val="244061"/>
              </w:rPr>
              <w:t xml:space="preserve">       </w:t>
            </w:r>
            <w:hyperlink w:history="true" r:id="Rebc953a89d7745e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23b684692478496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'units of activity' are derived from the National Hospital Cost Data Collection Round 16 (2011-12). This collection is managed by the Independent Hospital Pricing Authority. The full dataset specification can be found at </w:t>
            </w:r>
            <w:hyperlink w:history="true" r:id="Rdef722330f324c2f">
              <w:r>
                <w:rPr>
                  <w:rStyle w:val="Hyperlink"/>
                </w:rPr>
                <w:t xml:space="preserve">http://www.ihpa.gov.au/internet/ihpa/publishing.nsf/Content/nat-hosp-cost-data-collection-round-16</w:t>
              </w:r>
            </w:hyperlink>
          </w:p>
          <w:p>
            <w:pPr>
              <w:spacing w:after="160"/>
            </w:pPr>
            <w:r>
              <w:rPr>
                <w:rStyle w:val="row-content-rich-text"/>
              </w:rPr>
              <w:t xml:space="preserve">Total 'units of activity' form the denominator of the National Health Performance Authority's Comparable Cost of Care indicator.</w:t>
            </w:r>
          </w:p>
          <w:p>
            <w:pPr>
              <w:spacing w:after="160"/>
            </w:pPr>
            <w:r>
              <w:rPr>
                <w:rStyle w:val="row-content-rich-text"/>
              </w:rPr>
              <w:t xml:space="preserve">Hospital admissions are in-scope for Comparable Cost of Care and Total 'units of activity' if:</w:t>
            </w:r>
          </w:p>
          <w:p>
            <w:pPr>
              <w:pStyle w:val="ListParagraph"/>
              <w:numPr>
                <w:ilvl w:val="0"/>
                <w:numId w:val="2"/>
              </w:numPr>
            </w:pPr>
            <w:r>
              <w:rPr>
                <w:rStyle w:val="row-content-rich-text"/>
              </w:rPr>
              <w:t xml:space="preserve">The patient is classified as an acute admission</w:t>
            </w:r>
          </w:p>
          <w:p>
            <w:pPr>
              <w:pStyle w:val="ListParagraph"/>
              <w:numPr>
                <w:ilvl w:val="0"/>
                <w:numId w:val="2"/>
              </w:numPr>
            </w:pPr>
            <w:r>
              <w:rPr>
                <w:rStyle w:val="row-content-rich-text"/>
              </w:rPr>
              <w:t xml:space="preserve">The patient was admitted and discharged within the 2011-12 financial year</w:t>
            </w:r>
          </w:p>
          <w:p>
            <w:pPr>
              <w:pStyle w:val="ListParagraph"/>
              <w:numPr>
                <w:ilvl w:val="0"/>
                <w:numId w:val="2"/>
              </w:numPr>
            </w:pPr>
            <w:r>
              <w:rPr>
                <w:rStyle w:val="row-content-rich-text"/>
              </w:rPr>
              <w:t xml:space="preserve">The patient has a non-error AR-DRG 6.x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'units of activity' is derived as the sum of weighted separations as calculated for the Comparable Cost of Care indicator.</w:t>
            </w:r>
          </w:p>
          <w:p>
            <w:pPr>
              <w:pStyle w:val="ListParagraph"/>
              <w:numPr>
                <w:ilvl w:val="0"/>
                <w:numId w:val="3"/>
              </w:numPr>
            </w:pPr>
            <w:r>
              <w:rPr>
                <w:rStyle w:val="row-content-rich-text"/>
              </w:rPr>
              <w:t xml:space="preserve">A weighted separation is derived as;</w:t>
            </w:r>
          </w:p>
          <w:p>
            <w:pPr>
              <w:spacing w:after="160"/>
            </w:pPr>
            <w:r>
              <w:rPr>
                <w:rStyle w:val="row-content-rich-text"/>
              </w:rPr>
              <w:t xml:space="preserve">Weighted Separation = [ CW x (A</w:t>
            </w:r>
            <w:r>
              <w:rPr>
                <w:rStyle w:val="row-content-rich-text"/>
                <w:vertAlign w:val="subscript"/>
              </w:rPr>
              <w:t xml:space="preserve">Paed</w:t>
            </w:r>
            <w:r>
              <w:rPr>
                <w:rStyle w:val="row-content-rich-text"/>
              </w:rPr>
              <w:t xml:space="preserve"> x (1 + A</w:t>
            </w:r>
            <w:r>
              <w:rPr>
                <w:rStyle w:val="row-content-rich-text"/>
                <w:vertAlign w:val="subscript"/>
              </w:rPr>
              <w:t xml:space="preserve">SPA</w:t>
            </w:r>
            <w:r>
              <w:rPr>
                <w:rStyle w:val="row-content-rich-text"/>
              </w:rPr>
              <w:t xml:space="preserve">) x ( 1 + A</w:t>
            </w:r>
            <w:r>
              <w:rPr>
                <w:rStyle w:val="row-content-rich-text"/>
                <w:vertAlign w:val="subscript"/>
              </w:rPr>
              <w:t xml:space="preserve">Ind</w:t>
            </w:r>
            <w:r>
              <w:rPr>
                <w:rStyle w:val="row-content-rich-text"/>
              </w:rPr>
              <w:t xml:space="preserve"> + A</w:t>
            </w:r>
            <w:r>
              <w:rPr>
                <w:rStyle w:val="row-content-rich-text"/>
                <w:vertAlign w:val="subscript"/>
              </w:rPr>
              <w:t xml:space="preserve">A +</w:t>
            </w:r>
            <w:r>
              <w:rPr>
                <w:rStyle w:val="row-content-rich-text"/>
              </w:rPr>
              <w:t xml:space="preserve">A</w:t>
            </w:r>
            <w:r>
              <w:rPr>
                <w:rStyle w:val="row-content-rich-text"/>
                <w:vertAlign w:val="subscript"/>
              </w:rPr>
              <w:t xml:space="preserve">RT</w:t>
            </w:r>
            <w:r>
              <w:rPr>
                <w:rStyle w:val="row-content-rich-text"/>
              </w:rPr>
              <w:t xml:space="preserve">) + (A</w:t>
            </w:r>
            <w:r>
              <w:rPr>
                <w:rStyle w:val="row-content-rich-text"/>
                <w:vertAlign w:val="subscript"/>
              </w:rPr>
              <w:t xml:space="preserve">ICU</w:t>
            </w:r>
            <w:r>
              <w:rPr>
                <w:rStyle w:val="row-content-rich-text"/>
              </w:rPr>
              <w:t xml:space="preserve"> x ICU</w:t>
            </w:r>
            <w:r>
              <w:rPr>
                <w:rStyle w:val="row-content-rich-text"/>
                <w:vertAlign w:val="subscript"/>
              </w:rPr>
              <w:t xml:space="preserve">Hrs </w:t>
            </w:r>
            <w:r>
              <w:rPr>
                <w:rStyle w:val="row-content-rich-text"/>
              </w:rPr>
              <w:t xml:space="preserve">))]</w:t>
            </w:r>
          </w:p>
          <w:p>
            <w:pPr>
              <w:spacing w:after="160"/>
            </w:pPr>
            <w:r>
              <w:rPr>
                <w:rStyle w:val="row-content-rich-text"/>
              </w:rPr>
              <w:t xml:space="preserve">Where:</w:t>
            </w:r>
          </w:p>
          <w:p>
            <w:pPr>
              <w:pStyle w:val="ListParagraph"/>
              <w:numPr>
                <w:ilvl w:val="0"/>
                <w:numId w:val="4"/>
              </w:numPr>
            </w:pPr>
            <w:r>
              <w:rPr>
                <w:rStyle w:val="row-content-rich-text"/>
              </w:rPr>
              <w:t xml:space="preserve">CW means the Base Cost Weight </w:t>
            </w:r>
          </w:p>
          <w:p>
            <w:pPr>
              <w:spacing w:after="160"/>
            </w:pPr>
            <w:r>
              <w:rPr>
                <w:rStyle w:val="row-content-rich-text"/>
              </w:rPr>
              <w:t xml:space="preserve">i.e. Average comparable cost for a AR-DRG divided by average comparable costs for all AR-DRGs [where weights are calculated using data from major and large hospitals with an emergency department providing data to the NHCDC, and total in-scope costs only]</w:t>
            </w:r>
          </w:p>
          <w:p>
            <w:pPr>
              <w:pStyle w:val="ListParagraph"/>
              <w:numPr>
                <w:ilvl w:val="0"/>
                <w:numId w:val="5"/>
              </w:numPr>
            </w:pPr>
            <w:r>
              <w:rPr>
                <w:rStyle w:val="row-content-rich-text"/>
              </w:rPr>
              <w:t xml:space="preserve">A</w:t>
            </w:r>
            <w:r>
              <w:rPr>
                <w:rStyle w:val="row-content-rich-text"/>
                <w:vertAlign w:val="subscript"/>
              </w:rPr>
              <w:t xml:space="preserve">Paed</w:t>
            </w:r>
            <w:r>
              <w:rPr>
                <w:rStyle w:val="row-content-rich-text"/>
              </w:rPr>
              <w:t xml:space="preserve"> means the paediatric adjustment</w:t>
            </w:r>
          </w:p>
          <w:p>
            <w:pPr>
              <w:pStyle w:val="ListParagraph"/>
              <w:numPr>
                <w:ilvl w:val="0"/>
                <w:numId w:val="5"/>
              </w:numPr>
            </w:pPr>
            <w:r>
              <w:rPr>
                <w:rStyle w:val="row-content-rich-text"/>
              </w:rPr>
              <w:t xml:space="preserve">A</w:t>
            </w:r>
            <w:r>
              <w:rPr>
                <w:rStyle w:val="row-content-rich-text"/>
                <w:vertAlign w:val="subscript"/>
              </w:rPr>
              <w:t xml:space="preserve">SPA</w:t>
            </w:r>
            <w:r>
              <w:rPr>
                <w:rStyle w:val="row-content-rich-text"/>
              </w:rPr>
              <w:t xml:space="preserve"> means the specialist psychiatric age adjustment</w:t>
            </w:r>
          </w:p>
          <w:p>
            <w:pPr>
              <w:pStyle w:val="ListParagraph"/>
              <w:numPr>
                <w:ilvl w:val="0"/>
                <w:numId w:val="5"/>
              </w:numPr>
            </w:pPr>
            <w:r>
              <w:rPr>
                <w:rStyle w:val="row-content-rich-text"/>
              </w:rPr>
              <w:t xml:space="preserve">A</w:t>
            </w:r>
            <w:r>
              <w:rPr>
                <w:rStyle w:val="row-content-rich-text"/>
                <w:vertAlign w:val="subscript"/>
              </w:rPr>
              <w:t xml:space="preserve">Ind</w:t>
            </w:r>
            <w:r>
              <w:rPr>
                <w:rStyle w:val="row-content-rich-text"/>
              </w:rPr>
              <w:t xml:space="preserve"> means the indigenous adjustment</w:t>
            </w:r>
          </w:p>
          <w:p>
            <w:pPr>
              <w:pStyle w:val="ListParagraph"/>
              <w:numPr>
                <w:ilvl w:val="0"/>
                <w:numId w:val="5"/>
              </w:numPr>
            </w:pPr>
            <w:r>
              <w:rPr>
                <w:rStyle w:val="row-content-rich-text"/>
              </w:rPr>
              <w:t xml:space="preserve">A</w:t>
            </w:r>
            <w:r>
              <w:rPr>
                <w:rStyle w:val="row-content-rich-text"/>
                <w:vertAlign w:val="subscript"/>
              </w:rPr>
              <w:t xml:space="preserve">A</w:t>
            </w:r>
            <w:r>
              <w:rPr>
                <w:rStyle w:val="row-content-rich-text"/>
              </w:rPr>
              <w:t xml:space="preserve"> means the remoteness area adjustment</w:t>
            </w:r>
          </w:p>
          <w:p>
            <w:pPr>
              <w:pStyle w:val="ListParagraph"/>
              <w:numPr>
                <w:ilvl w:val="0"/>
                <w:numId w:val="5"/>
              </w:numPr>
            </w:pPr>
            <w:r>
              <w:rPr>
                <w:rStyle w:val="row-content-rich-text"/>
              </w:rPr>
              <w:t xml:space="preserve">A</w:t>
            </w:r>
            <w:r>
              <w:rPr>
                <w:rStyle w:val="row-content-rich-text"/>
                <w:vertAlign w:val="subscript"/>
              </w:rPr>
              <w:t xml:space="preserve">RT</w:t>
            </w:r>
            <w:r>
              <w:rPr>
                <w:rStyle w:val="row-content-rich-text"/>
              </w:rPr>
              <w:t xml:space="preserve"> means the radiotherapy adjustment</w:t>
            </w:r>
          </w:p>
          <w:p>
            <w:pPr>
              <w:pStyle w:val="ListParagraph"/>
              <w:numPr>
                <w:ilvl w:val="0"/>
                <w:numId w:val="5"/>
              </w:numPr>
            </w:pPr>
            <w:r>
              <w:rPr>
                <w:rStyle w:val="row-content-rich-text"/>
              </w:rPr>
              <w:t xml:space="preserve">A</w:t>
            </w:r>
            <w:r>
              <w:rPr>
                <w:rStyle w:val="row-content-rich-text"/>
                <w:vertAlign w:val="subscript"/>
              </w:rPr>
              <w:t xml:space="preserve">ICU</w:t>
            </w:r>
            <w:r>
              <w:rPr>
                <w:rStyle w:val="row-content-rich-text"/>
              </w:rPr>
              <w:t xml:space="preserve"> means the ICU adjustment</w:t>
            </w:r>
          </w:p>
          <w:p>
            <w:pPr>
              <w:pStyle w:val="ListParagraph"/>
              <w:numPr>
                <w:ilvl w:val="0"/>
                <w:numId w:val="5"/>
              </w:numPr>
            </w:pPr>
            <w:r>
              <w:rPr>
                <w:rStyle w:val="row-content-rich-text"/>
              </w:rPr>
              <w:t xml:space="preserve">ICU</w:t>
            </w:r>
            <w:r>
              <w:rPr>
                <w:rStyle w:val="row-content-rich-text"/>
                <w:vertAlign w:val="subscript"/>
              </w:rPr>
              <w:t xml:space="preserve">Hrs</w:t>
            </w:r>
            <w:r>
              <w:rPr>
                <w:rStyle w:val="row-content-rich-text"/>
              </w:rPr>
              <w:t xml:space="preserve"> Means the number of hours spent by a person within a Level 3 ICU/PICU </w:t>
            </w:r>
          </w:p>
          <w:p>
            <w:pPr>
              <w:spacing w:after="160"/>
            </w:pPr>
            <w:r>
              <w:rPr>
                <w:rStyle w:val="row-content-rich-text"/>
              </w:rPr>
              <w:t xml:space="preserve">For the purpose of deriving the Base Cost Weights, the following costs are deemed to be in-scope:</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rHeight w:val="600" w:hRule="atLeast"/>
              </w:trPr>
              <w:tc>
                <w:tcPr>
                  <w:tcW w:w="2500" w:type="pct"/>
                  <w:vMerge w:val="restart"/>
                  <w:vAlign w:val="top"/>
                </w:tcPr>
                <w:p>
                  <w:pPr/>
                  <w:r>
                    <w:rPr>
                      <w:rStyle w:val="row-content-rich-text"/>
                      <w:b/>
                    </w:rPr>
                    <w:t xml:space="preserve">Description</w:t>
                  </w:r>
                </w:p>
              </w:tc>
              <w:tc>
                <w:tcPr>
                  <w:tcW w:w="1250" w:type="pct"/>
                  <w:gridSpan w:val="2"/>
                  <w:vAlign w:val="top"/>
                </w:tcPr>
                <w:p>
                  <w:r>
                    <w:rPr>
                      <w:b/>
                    </w:rPr>
                    <w:t xml:space="preserve">          </w:t>
                  </w:r>
                </w:p>
              </w:tc>
            </w:tr>
            <w:tr>
              <w:trPr>
                <w:trHeight w:val="300" w:hRule="atLeast"/>
              </w:trPr>
              <w:tc>
                <w:tcPr>
                  <w:tcW w:w="2500" w:type="pct"/>
                  <w:vMerge/>
                </w:tcPr>
                <w:p/>
              </w:tc>
              <w:tc>
                <w:tcPr>
                  <w:tcW w:w="1250" w:type="pct"/>
                  <w:vAlign w:val="top"/>
                </w:tcPr>
                <w:p>
                  <w:r>
                    <w:rPr>
                      <w:b/>
                    </w:rPr>
                    <w:t xml:space="preserve">Direct</w:t>
                  </w:r>
                </w:p>
              </w:tc>
              <w:tc>
                <w:tcPr>
                  <w:tcW w:w="1200" w:type="pct"/>
                  <w:vAlign w:val="top"/>
                </w:tcPr>
                <w:p>
                  <w:r>
                    <w:rPr>
                      <w:b/>
                    </w:rPr>
                    <w:t xml:space="preserve">Indirect</w:t>
                  </w:r>
                </w:p>
              </w:tc>
            </w:tr>
            <w:tr>
              <w:trPr>
                <w:trHeight w:val="300" w:hRule="atLeast"/>
              </w:trPr>
              <w:tc>
                <w:tcPr>
                  <w:tcW w:w="2500" w:type="pct"/>
                  <w:vAlign w:val="top"/>
                </w:tcPr>
                <w:p>
                  <w:r>
                    <w:t xml:space="preserve">Allied Health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Critical Care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Emergency Department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Emergency Department PRO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Hotel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Imaging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Non-Clinical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Oncost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Operating Room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Pathology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Pharmacy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Prosthetic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Specialised Procedure Suite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Ward Supplies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Ward (Medical)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Ward (Nursing) Cost Bucket</w:t>
                  </w:r>
                </w:p>
              </w:tc>
              <w:tc>
                <w:tcPr>
                  <w:tcW w:w="1250" w:type="pct"/>
                  <w:vAlign w:val="top"/>
                </w:tcPr>
                <w:p>
                  <w:r>
                    <w:t xml:space="preserve">Include</w:t>
                  </w:r>
                </w:p>
              </w:tc>
              <w:tc>
                <w:tcPr>
                  <w:tcW w:w="1200" w:type="pct"/>
                  <w:vAlign w:val="top"/>
                </w:tcPr>
                <w:p>
                  <w:r>
                    <w:t xml:space="preserve">Include</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b87b5d34ad402a">
              <w:r>
                <w:rPr>
                  <w:rStyle w:val="Hyperlink"/>
                </w:rPr>
                <w:t xml:space="preserve">Establishment—organisation identifier (Australian), NNX[X]NNNNN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values are rounded to the nearest integer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bl>
    <w:p>
      <w:r>
        <w:br/>
      </w:r>
    </w:p>
    <w:sectPr>
      <w:footerReference xmlns:r="http://schemas.openxmlformats.org/officeDocument/2006/relationships" w:type="default" r:id="R2bed5dfc3dcf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602645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e3c730f8444c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ed5dfc3dcf4fee" /><Relationship Type="http://schemas.openxmlformats.org/officeDocument/2006/relationships/header" Target="/word/header1.xml" Id="R535d8188e1f54a39" /><Relationship Type="http://schemas.openxmlformats.org/officeDocument/2006/relationships/settings" Target="/word/settings.xml" Id="Rd283f32c7fa44f63" /><Relationship Type="http://schemas.openxmlformats.org/officeDocument/2006/relationships/styles" Target="/word/styles.xml" Id="R332d0bfcf81f4a04" /><Relationship Type="http://schemas.openxmlformats.org/officeDocument/2006/relationships/hyperlink" Target="https://meteor.aihw.gov.au/RegistrationAuthority/8" TargetMode="External" Id="R1a8bd54bc39c4fb6" /><Relationship Type="http://schemas.openxmlformats.org/officeDocument/2006/relationships/hyperlink" Target="https://meteor.aihw.gov.au/content/528408" TargetMode="External" Id="Rf1b20bbbaeeb49e4" /><Relationship Type="http://schemas.openxmlformats.org/officeDocument/2006/relationships/hyperlink" Target="https://meteor.aihw.gov.au/RegistrationAuthority/8" TargetMode="External" Id="R759fece5c6a74605" /><Relationship Type="http://schemas.openxmlformats.org/officeDocument/2006/relationships/hyperlink" Target="https://meteor.aihw.gov.au/content/393487" TargetMode="External" Id="R480c5e37b936490f" /><Relationship Type="http://schemas.openxmlformats.org/officeDocument/2006/relationships/hyperlink" Target="https://meteor.aihw.gov.au/RegistrationAuthority/12" TargetMode="External" Id="Rebc953a89d7745e1" /><Relationship Type="http://schemas.openxmlformats.org/officeDocument/2006/relationships/hyperlink" Target="https://meteor.aihw.gov.au/RegistrationAuthority/8" TargetMode="External" Id="R23b684692478496a" /><Relationship Type="http://schemas.openxmlformats.org/officeDocument/2006/relationships/hyperlink" Target="http://www.ihpa.gov.au/internet/ihpa/publishing.nsf/Content/nat-hosp-cost-data-collection-round-16" TargetMode="External" Id="Rdef722330f324c2f" /><Relationship Type="http://schemas.openxmlformats.org/officeDocument/2006/relationships/numbering" Target="/word/numbering.xml" Id="Re240d956a91e458a" /><Relationship Type="http://schemas.openxmlformats.org/officeDocument/2006/relationships/hyperlink" Target="https://meteor.aihw.gov.au/content/269973" TargetMode="External" Id="Re3b87b5d34ad402a" /></Relationships>
</file>

<file path=word/_rels/header1.xml.rels>&#65279;<?xml version="1.0" encoding="utf-8"?><Relationships xmlns="http://schemas.openxmlformats.org/package/2006/relationships"><Relationship Type="http://schemas.openxmlformats.org/officeDocument/2006/relationships/image" Target="/media/image.png" Id="R4ae3c730f8444c0b" /></Relationships>
</file>