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d869d9b1d84109"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Waiting times for GP appointments,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Waiting times for GP appointments,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Waiting times for GPs,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601882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45a86dcc9f4ada">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adults who felt they waited longer than acceptable to get an appointment with a GP in the preceding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fe4bd114aeb4611">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fd16581259bb4691">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2012–13 who felt they waited longer than acceptable to get an appointment with a GP.</w:t>
            </w:r>
          </w:p>
          <w:p>
            <w:pPr>
              <w:spacing w:after="160"/>
            </w:pPr>
            <w:r>
              <w:rPr>
                <w:rStyle w:val="row-content-rich-text"/>
              </w:rPr>
              <w:t xml:space="preserve">The numerator was calculated as the sum of calibrated sample weights for adults who responded that they waited longer than acceptable to get an appointment with a GP in last 12 months and who were enumerated within the particular Medicare local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saw a GP for their own health in the last 12 months (excluding proxy interviews) who were enumerated within the Medicare Local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These benchmarks have not been calibrated for Medicare Local geography.</w:t>
            </w:r>
          </w:p>
          <w:p>
            <w:pPr>
              <w:spacing w:after="160"/>
            </w:pPr>
            <w:r>
              <w:rPr>
                <w:rStyle w:val="row-content-rich-text"/>
              </w:rPr>
              <w:t xml:space="preserve">Presented as a percentage.</w:t>
            </w:r>
          </w:p>
          <w:p>
            <w:pPr>
              <w:spacing w:after="160"/>
            </w:pPr>
            <w:r>
              <w:rPr>
                <w:rStyle w:val="row-content-rich-text"/>
              </w:rPr>
              <w:t xml:space="preserve">95% confidence intervals and relative standard errors calculated for rates.</w:t>
            </w:r>
          </w:p>
          <w:p>
            <w:pPr>
              <w:spacing w:after="160"/>
            </w:pPr>
            <w:r>
              <w:rPr>
                <w:rStyle w:val="row-content-rich-text"/>
              </w:rPr>
              <w:t xml:space="preserve">The National Health Performance Authority developed a suppression protocol to ensure robust reporting of these data at small areas.</w:t>
            </w:r>
          </w:p>
          <w:p>
            <w:pPr>
              <w:pStyle w:val="ListParagraph"/>
              <w:numPr>
                <w:ilvl w:val="0"/>
                <w:numId w:val="2"/>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w:t>
            </w:r>
          </w:p>
          <w:p>
            <w:pPr>
              <w:pStyle w:val="ListParagraph"/>
              <w:numPr>
                <w:ilvl w:val="0"/>
                <w:numId w:val="2"/>
              </w:numPr>
            </w:pPr>
            <w:r>
              <w:rPr>
                <w:rStyle w:val="row-content-rich-text"/>
              </w:rPr>
              <w:t xml:space="preserve">Data were supressed based on the following rules:</w:t>
            </w:r>
          </w:p>
          <w:p>
            <w:pPr>
              <w:spacing w:after="160"/>
            </w:pPr>
            <w:r>
              <w:rPr>
                <w:rStyle w:val="row-content-rich-text"/>
              </w:rPr>
              <w:t xml:space="preserve"> </w:t>
            </w:r>
          </w:p>
          <w:p>
            <w:pPr>
              <w:spacing w:after="160"/>
            </w:pPr>
            <w:r>
              <w:rPr>
                <w:rStyle w:val="row-content-rich-text"/>
              </w:rPr>
              <w:t xml:space="preserve">- Relative Standard Error of 33% or greater, or</w:t>
            </w:r>
          </w:p>
          <w:p>
            <w:pPr>
              <w:spacing w:after="160"/>
            </w:pPr>
            <w:r>
              <w:rPr>
                <w:rStyle w:val="row-content-rich-text"/>
              </w:rPr>
              <w:t xml:space="preserve">- Confidence Interval (95%) width of 33% or greater, or</w:t>
            </w:r>
          </w:p>
          <w:p>
            <w:pPr>
              <w:spacing w:after="160"/>
            </w:pPr>
            <w:r>
              <w:rPr>
                <w:rStyle w:val="row-content-rich-text"/>
              </w:rPr>
              <w:t xml:space="preserve">- Relative Standard Error between 27% and 33%, with significantly</w:t>
            </w:r>
            <w:r>
              <w:rPr>
                <w:rStyle w:val="row-content-rich-text"/>
                <w:vertAlign w:val="superscript"/>
              </w:rPr>
              <w:t xml:space="preserve">3</w:t>
            </w:r>
            <w:r>
              <w:rPr>
                <w:rStyle w:val="row-content-rich-text"/>
              </w:rPr>
              <w:t xml:space="preserve"> wider Confidence Interval width than the average for that indicator, or</w:t>
            </w:r>
          </w:p>
          <w:p>
            <w:pPr>
              <w:spacing w:after="160"/>
            </w:pPr>
            <w:r>
              <w:rPr>
                <w:rStyle w:val="row-content-rich-text"/>
              </w:rPr>
              <w:t xml:space="preserve">- 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w:t>
            </w:r>
          </w:p>
          <w:p>
            <w:pPr>
              <w:spacing w:after="160"/>
            </w:pPr>
            <w:r>
              <w:rPr>
                <w:rStyle w:val="row-content-rich-text"/>
              </w:rPr>
              <w:t xml:space="preserve"> </w:t>
            </w:r>
          </w:p>
          <w:p>
            <w:pPr>
              <w:spacing w:after="160"/>
            </w:pPr>
            <w:r>
              <w:rPr>
                <w:rStyle w:val="row-content-rich-text"/>
                <w:vertAlign w:val="superscript"/>
              </w:rPr>
              <w:t xml:space="preserve">1. For a dichotomous proportion, Relative Standard Error can be defined as the ratio of the standard error and the minimum of the estimate and its complement (100%–estimate).</w:t>
            </w:r>
          </w:p>
          <w:p>
            <w:pPr>
              <w:spacing w:after="160"/>
            </w:pPr>
            <w:r>
              <w:rPr>
                <w:rStyle w:val="row-content-rich-text"/>
                <w:vertAlign w:val="superscript"/>
              </w:rPr>
              <w:t xml:space="preserve">2. In this context, marginal is defined as within 10% of the 30% limit, or +/- 3%</w:t>
            </w:r>
          </w:p>
          <w:p>
            <w:pPr/>
            <w:r>
              <w:rPr>
                <w:rStyle w:val="row-content-rich-text"/>
                <w:vertAlign w:val="superscript"/>
              </w:rPr>
              <w:t xml:space="preserve">3. In this context, statistical significance is defined as at least two standard deviations above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who reported they waited longer than acceptable to get an appointment with a GP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24783ca4d7440b8">
              <w:r>
                <w:rPr>
                  <w:rStyle w:val="Hyperlink"/>
                </w:rPr>
                <w:t xml:space="preserve">Person—age, total years N[NN]</w:t>
              </w:r>
            </w:hyperlink>
          </w:p>
          <w:p>
            <w:r>
              <w:rPr>
                <w:rStyle w:val="row-content"/>
                <w:b/>
              </w:rPr>
              <w:t xml:space="preserve">Data Source</w:t>
            </w:r>
          </w:p>
          <w:p>
            <w:hyperlink w:history="true" r:id="R63b4a1eaf82347c9">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b09ab49774574af5">
              <w:r>
                <w:rPr>
                  <w:rStyle w:val="Hyperlink"/>
                </w:rPr>
                <w:t xml:space="preserve">Person—General Practitioner waiting time dissatisfaction indicator, yes/no code N</w:t>
              </w:r>
            </w:hyperlink>
          </w:p>
          <w:p>
            <w:r>
              <w:rPr>
                <w:rStyle w:val="row-content"/>
                <w:b/>
              </w:rPr>
              <w:t xml:space="preserve">Data Source</w:t>
            </w:r>
          </w:p>
          <w:p>
            <w:hyperlink w:history="true" r:id="R182ba3fc4ad14223">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saw a GP for their own health in the last 12 months excludes interviews by proxy.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5a2d0f135664023">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and Medicare Local peer groups.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e6a25651dd54cc9">
              <w:r>
                <w:rPr>
                  <w:rStyle w:val="Hyperlink"/>
                </w:rPr>
                <w:t xml:space="preserve">Administrative health region—Medicare Local identifier, code AANNN</w:t>
              </w:r>
            </w:hyperlink>
          </w:p>
          <w:p>
            <w:r>
              <w:rPr>
                <w:rStyle w:val="row-content"/>
                <w:b/>
                <w:color w:val="000000"/>
              </w:rPr>
              <w:t xml:space="preserve">Data Element / Data Set</w:t>
            </w:r>
          </w:p>
          <w:p>
            <w:hyperlink w:history="true" r:id="R066bdc13561c4a73">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02917b90c874e0b">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b905d31a8504e4f">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19/03/2015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29433146d44cd3">
              <w:r>
                <w:rPr>
                  <w:rStyle w:val="Hyperlink"/>
                </w:rPr>
                <w:t xml:space="preserve">National Health Performance Authority, Healthy Communities: Satisfaction with waiting times for GPs, 2011–12 </w:t>
              </w:r>
            </w:hyperlink>
          </w:p>
          <w:p>
            <w:pPr>
              <w:spacing w:before="0" w:after="0"/>
            </w:pPr>
            <w:r>
              <w:rPr>
                <w:rStyle w:val="row-content"/>
                <w:color w:val="244061"/>
              </w:rPr>
              <w:t xml:space="preserve">       </w:t>
            </w:r>
            <w:hyperlink w:history="true" r:id="R24ee40da957047e0">
              <w:r>
                <w:rPr>
                  <w:rStyle w:val="Hyperlink"/>
                  <w:color w:val="244061"/>
                </w:rPr>
                <w:t xml:space="preserve">National Health Performance Authority (retired)</w:t>
              </w:r>
            </w:hyperlink>
            <w:r>
              <w:rPr>
                <w:rStyle w:val="row-content"/>
                <w:color w:val="244061"/>
              </w:rPr>
              <w:t xml:space="preserve">, Superseded 19/03/2015</w:t>
            </w:r>
          </w:p>
          <w:p>
            <w:r>
              <w:br/>
            </w:r>
          </w:p>
        </w:tc>
      </w:tr>
    </w:tbl>
    <w:p>
      <w:r>
        <w:br/>
      </w:r>
    </w:p>
    <w:sectPr>
      <w:footerReference xmlns:r="http://schemas.openxmlformats.org/officeDocument/2006/relationships" w:type="default" r:id="R060d930ac44e48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601882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25a51ef98e48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0d930ac44e48d2" /><Relationship Type="http://schemas.openxmlformats.org/officeDocument/2006/relationships/header" Target="/word/header1.xml" Id="Ra26f306a8c0b4114" /><Relationship Type="http://schemas.openxmlformats.org/officeDocument/2006/relationships/settings" Target="/word/settings.xml" Id="R1cb6241e2591466d" /><Relationship Type="http://schemas.openxmlformats.org/officeDocument/2006/relationships/styles" Target="/word/styles.xml" Id="R2870097c65eb40fe" /><Relationship Type="http://schemas.openxmlformats.org/officeDocument/2006/relationships/hyperlink" Target="https://meteor.aihw.gov.au/RegistrationAuthority/8" TargetMode="External" Id="R0845a86dcc9f4ada" /><Relationship Type="http://schemas.openxmlformats.org/officeDocument/2006/relationships/hyperlink" Target="https://meteor.aihw.gov.au/content/550329" TargetMode="External" Id="R8fe4bd114aeb4611" /><Relationship Type="http://schemas.openxmlformats.org/officeDocument/2006/relationships/hyperlink" Target="https://meteor.aihw.gov.au/RegistrationAuthority/8" TargetMode="External" Id="Rfd16581259bb4691" /><Relationship Type="http://schemas.openxmlformats.org/officeDocument/2006/relationships/numbering" Target="/word/numbering.xml" Id="R6a3f30e049324460" /><Relationship Type="http://schemas.openxmlformats.org/officeDocument/2006/relationships/hyperlink" Target="https://meteor.aihw.gov.au/content/303794" TargetMode="External" Id="R524783ca4d7440b8" /><Relationship Type="http://schemas.openxmlformats.org/officeDocument/2006/relationships/hyperlink" Target="https://meteor.aihw.gov.au/content/394410" TargetMode="External" Id="R63b4a1eaf82347c9" /><Relationship Type="http://schemas.openxmlformats.org/officeDocument/2006/relationships/hyperlink" Target="https://meteor.aihw.gov.au/content/556882" TargetMode="External" Id="Rb09ab49774574af5" /><Relationship Type="http://schemas.openxmlformats.org/officeDocument/2006/relationships/hyperlink" Target="https://meteor.aihw.gov.au/content/394410" TargetMode="External" Id="R182ba3fc4ad14223" /><Relationship Type="http://schemas.openxmlformats.org/officeDocument/2006/relationships/hyperlink" Target="https://meteor.aihw.gov.au/content/394410" TargetMode="External" Id="R05a2d0f135664023" /><Relationship Type="http://schemas.openxmlformats.org/officeDocument/2006/relationships/hyperlink" Target="https://meteor.aihw.gov.au/content/513288" TargetMode="External" Id="R6e6a25651dd54cc9" /><Relationship Type="http://schemas.openxmlformats.org/officeDocument/2006/relationships/hyperlink" Target="https://meteor.aihw.gov.au/content/550733" TargetMode="External" Id="R066bdc13561c4a73" /><Relationship Type="http://schemas.openxmlformats.org/officeDocument/2006/relationships/hyperlink" Target="https://meteor.aihw.gov.au/content/554928" TargetMode="External" Id="Rb02917b90c874e0b" /><Relationship Type="http://schemas.openxmlformats.org/officeDocument/2006/relationships/hyperlink" Target="https://meteor.aihw.gov.au/content/394410" TargetMode="External" Id="Rfb905d31a8504e4f" /><Relationship Type="http://schemas.openxmlformats.org/officeDocument/2006/relationships/hyperlink" Target="https://meteor.aihw.gov.au/content/529386" TargetMode="External" Id="R3a29433146d44cd3" /><Relationship Type="http://schemas.openxmlformats.org/officeDocument/2006/relationships/hyperlink" Target="https://meteor.aihw.gov.au/RegistrationAuthority/8" TargetMode="External" Id="R24ee40da957047e0" /></Relationships>
</file>

<file path=word/_rels/header1.xml.rels>&#65279;<?xml version="1.0" encoding="utf-8"?><Relationships xmlns="http://schemas.openxmlformats.org/package/2006/relationships"><Relationship Type="http://schemas.openxmlformats.org/officeDocument/2006/relationships/image" Target="/media/image.png" Id="R1a25a51ef98e489f" /></Relationships>
</file>