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a813e7faf67c4a7c" /></Relationships>
</file>

<file path=word/document.xml><?xml version="1.0" encoding="utf-8"?>
<w:document xmlns:r="http://schemas.openxmlformats.org/officeDocument/2006/relationships" xmlns:w="http://schemas.openxmlformats.org/wordprocessingml/2006/main">
  <w:body>
    <w:p>
      <w:pPr>
        <w:pStyle w:val="Title"/>
      </w:pPr>
      <w:r>
        <w:t>National Health Performance Authority, Healthy Communities: Cost barriers to seeing a medical specialist, 2012–13 </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National Health Performance Authority, Healthy Communities: Cost barriers to seeing a medical specialist, 2012–13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Cost barriers to seeing a medical specialist, 2012–13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601815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e76c1c94bec4db7">
              <w:r>
                <w:rPr>
                  <w:rStyle w:val="Hyperlink"/>
                  <w:color w:val="244061"/>
                </w:rPr>
                <w:t xml:space="preserve">National Health Performance Authority (retired)</w:t>
              </w:r>
            </w:hyperlink>
            <w:r>
              <w:rPr>
                <w:rStyle w:val="row-content"/>
                <w:color w:val="244061"/>
              </w:rPr>
              <w:t xml:space="preserve">, Retired 01/07/2016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Percentage of people over 15 years of age who did not see or delayed seeing a medical specialist due to cost in the preceding 12 months.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7cb3a1a2e0f240e8">
              <w:r>
                <w:rPr>
                  <w:rStyle w:val="Hyperlink"/>
                </w:rPr>
                <w:t xml:space="preserve">National Health Performance Authority: Healthy Communities: 2011–</w:t>
              </w:r>
            </w:hyperlink>
          </w:p>
          <w:p>
            <w:pPr>
              <w:pStyle w:val="registration-status"/>
              <w:spacing w:before="0" w:after="0"/>
            </w:pPr>
            <w:hyperlink w:history="true" r:id="R34b1fd5b36354d73">
              <w:r>
                <w:rPr>
                  <w:rStyle w:val="Hyperlink"/>
                  <w:color w:val="244061"/>
                </w:rPr>
                <w:t xml:space="preserve">National Health Performance Authority (retired)</w:t>
              </w:r>
            </w:hyperlink>
            <w:r>
              <w:rPr>
                <w:rStyle w:val="row-content"/>
                <w:color w:val="244061"/>
              </w:rPr>
              <w:t xml:space="preserve">, Retired 01/07/2016</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from:</w:t>
            </w:r>
          </w:p>
        </w:tc>
        <w:tc>
          <w:tcPr>
            <w:tcBorders>
              <w:top w:val="none" w:color="000000" w:sz="0"/>
              <w:left w:val="none" w:color="000000" w:sz="0"/>
              <w:bottom w:val="none" w:color="000000" w:sz="0"/>
              <w:right w:val="none" w:color="000000" w:sz="0"/>
            </w:tcBorders>
            <w:vAlign w:val="top"/>
          </w:tcPr>
          <w:p>
            <w:pPr/>
            <w:r>
              <w:rPr>
                <w:rStyle w:val="row-content-rich-text"/>
              </w:rPr>
              <w:t xml:space="preserve">For this indicator an adult is defined as a person aged 15 years and over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Participants in Australian Bureau of Statistics (ABS) Patient Experience Survey 2011–12 who reported that they did not see or delayed seeing a medical specialist due to cost in the preceding 12 months.</w:t>
            </w:r>
          </w:p>
          <w:p>
            <w:pPr>
              <w:spacing w:after="160"/>
            </w:pPr>
            <w:r>
              <w:rPr>
                <w:rStyle w:val="row-content-rich-text"/>
              </w:rPr>
              <w:t xml:space="preserve">The numerator refers to the number of adults who did not see or delayed seeing a medical specialist due to cost in the preceding 12 months.</w:t>
            </w:r>
          </w:p>
          <w:p>
            <w:pPr>
              <w:spacing w:after="160"/>
            </w:pPr>
            <w:r>
              <w:rPr>
                <w:rStyle w:val="row-content-rich-text"/>
              </w:rPr>
              <w:t xml:space="preserve">The numerator was calculated as the sum of calibrated sample weights for adults who responded that they did not see or delayed seeing a medical specialist due to cost and who were enumerated within the particular Medicare local catchment.</w:t>
            </w:r>
          </w:p>
          <w:p>
            <w:pPr>
              <w:spacing w:after="160"/>
            </w:pPr>
            <w:r>
              <w:rPr>
                <w:rStyle w:val="row-content-rich-text"/>
              </w:rPr>
              <w:t xml:space="preserve">Population is limited to persons aged 15 years and over.</w:t>
            </w:r>
          </w:p>
          <w:p>
            <w:pPr>
              <w:spacing w:after="160"/>
            </w:pPr>
            <w:r>
              <w:rPr>
                <w:rStyle w:val="row-content-rich-text"/>
              </w:rPr>
              <w:t xml:space="preserve">The denominator was calculated as the sum of calibrated sample weights for persons aged 15 years and over who were enumerated within the Medicare Local catchment.</w:t>
            </w:r>
          </w:p>
          <w:p>
            <w:pPr>
              <w:spacing w:after="160"/>
            </w:pPr>
            <w:r>
              <w:rPr>
                <w:rStyle w:val="row-content-rich-text"/>
              </w:rPr>
              <w:t xml:space="preserve">Person level survey weights were calibrated to independent estimates of the population of interest, referred to as 'benchmarks'. Weights calibrated against population benchmarks ensure that the survey estimates conform to independently estimated distributions of the population, rather than to the distribution within the sample itself. These benchmarks account for the distribution of people across state and territory, age group, and sex categories. Note: These benchmarks have not been calibrated for Medicare Local geography.</w:t>
            </w:r>
          </w:p>
          <w:p>
            <w:pPr>
              <w:spacing w:after="160"/>
            </w:pPr>
            <w:r>
              <w:rPr>
                <w:rStyle w:val="row-content-rich-text"/>
              </w:rPr>
              <w:t xml:space="preserve">Analysis by remoteness and Socio-Economic Indexes for Areas (SEIFA) Index of Relative Socio-Economic Disadvantage (IRSD) is based on usual residence of the person.</w:t>
            </w:r>
          </w:p>
          <w:p>
            <w:pPr>
              <w:spacing w:after="160"/>
            </w:pPr>
            <w:r>
              <w:rPr>
                <w:rStyle w:val="row-content-rich-text"/>
              </w:rPr>
              <w:t xml:space="preserve">The measure is presented as a percentage. </w:t>
            </w:r>
          </w:p>
          <w:p>
            <w:pPr>
              <w:spacing w:after="160"/>
            </w:pPr>
            <w:r>
              <w:rPr>
                <w:rStyle w:val="row-content-rich-text"/>
              </w:rPr>
              <w:t xml:space="preserve">95% confidence intervals and relative standard errors are calculated for rates.</w:t>
            </w:r>
          </w:p>
          <w:p>
            <w:pPr>
              <w:spacing w:after="160"/>
            </w:pPr>
            <w:r>
              <w:rPr>
                <w:rStyle w:val="row-content-rich-text"/>
              </w:rPr>
              <w:t xml:space="preserve">The National Health Performance Authority developed a suppression protocol to ensure robust reporting of these data at small areas.</w:t>
            </w:r>
          </w:p>
          <w:p>
            <w:pPr>
              <w:pStyle w:val="ListParagraph"/>
              <w:numPr>
                <w:ilvl w:val="0"/>
                <w:numId w:val="2"/>
              </w:numPr>
            </w:pPr>
            <w:r>
              <w:rPr>
                <w:rStyle w:val="row-content-rich-text"/>
              </w:rPr>
              <w:t xml:space="preserve">These suppression rules are based on limits for Relative Standard Error</w:t>
            </w:r>
            <w:r>
              <w:rPr>
                <w:rStyle w:val="row-content-rich-text"/>
                <w:vertAlign w:val="superscript"/>
              </w:rPr>
              <w:t xml:space="preserve">1</w:t>
            </w:r>
            <w:r>
              <w:rPr>
                <w:rStyle w:val="row-content-rich-text"/>
              </w:rPr>
              <w:t xml:space="preserve"> and Confidence Interval width of 30%, with additional cross-validation for estimates close to these limits, that is plus or minus 3% of the limits. If an estimate was marginal</w:t>
            </w:r>
            <w:r>
              <w:rPr>
                <w:rStyle w:val="row-content-rich-text"/>
                <w:vertAlign w:val="superscript"/>
              </w:rPr>
              <w:t xml:space="preserve">2</w:t>
            </w:r>
            <w:r>
              <w:rPr>
                <w:rStyle w:val="row-content-rich-text"/>
              </w:rPr>
              <w:t xml:space="preserve"> with respect to Relative Standard Error, the Confidence Interval width was used as the deciding factor. If an estimate was marginal</w:t>
            </w:r>
            <w:r>
              <w:rPr>
                <w:rStyle w:val="row-content-rich-text"/>
                <w:vertAlign w:val="superscript"/>
              </w:rPr>
              <w:t xml:space="preserve">2</w:t>
            </w:r>
            <w:r>
              <w:rPr>
                <w:rStyle w:val="row-content-rich-text"/>
              </w:rPr>
              <w:t xml:space="preserve"> with respect to Confidence Interval width, then Relative Standard Error is used as the deciding factor</w:t>
            </w:r>
          </w:p>
          <w:p>
            <w:pPr>
              <w:pStyle w:val="ListParagraph"/>
              <w:numPr>
                <w:ilvl w:val="0"/>
                <w:numId w:val="2"/>
              </w:numPr>
            </w:pPr>
            <w:r>
              <w:rPr>
                <w:rStyle w:val="row-content-rich-text"/>
              </w:rPr>
              <w:t xml:space="preserve">Data were supressed based on the following rules:</w:t>
            </w:r>
          </w:p>
          <w:p>
            <w:pPr>
              <w:spacing w:after="160"/>
            </w:pPr>
            <w:r>
              <w:rPr>
                <w:rStyle w:val="row-content-rich-text"/>
              </w:rPr>
              <w:t xml:space="preserve"> </w:t>
            </w:r>
          </w:p>
          <w:p>
            <w:pPr>
              <w:spacing w:after="160"/>
            </w:pPr>
            <w:r>
              <w:rPr>
                <w:rStyle w:val="row-content-rich-text"/>
              </w:rPr>
              <w:t xml:space="preserve">- Relative Standard Error of 33% or greater, or</w:t>
            </w:r>
          </w:p>
          <w:p>
            <w:pPr>
              <w:spacing w:after="160"/>
            </w:pPr>
            <w:r>
              <w:rPr>
                <w:rStyle w:val="row-content-rich-text"/>
              </w:rPr>
              <w:t xml:space="preserve">- Confidence Interval (95%) width of 33% or greater, or</w:t>
            </w:r>
          </w:p>
          <w:p>
            <w:pPr>
              <w:spacing w:after="160"/>
            </w:pPr>
            <w:r>
              <w:rPr>
                <w:rStyle w:val="row-content-rich-text"/>
              </w:rPr>
              <w:t xml:space="preserve">- Relative Standard Error between 27% and 33%, with     significantly</w:t>
            </w:r>
            <w:r>
              <w:rPr>
                <w:rStyle w:val="row-content-rich-text"/>
                <w:vertAlign w:val="superscript"/>
              </w:rPr>
              <w:t xml:space="preserve">3</w:t>
            </w:r>
            <w:r>
              <w:rPr>
                <w:rStyle w:val="row-content-rich-text"/>
              </w:rPr>
              <w:t xml:space="preserve"> wider Confidence Interval width than the average for that indicator, or</w:t>
            </w:r>
          </w:p>
          <w:p>
            <w:pPr>
              <w:spacing w:after="160"/>
            </w:pPr>
            <w:r>
              <w:rPr>
                <w:rStyle w:val="row-content-rich-text"/>
              </w:rPr>
              <w:t xml:space="preserve">- Confidence Interval width between 27% and 33%, with significantly</w:t>
            </w:r>
            <w:r>
              <w:rPr>
                <w:rStyle w:val="row-content-rich-text"/>
                <w:vertAlign w:val="superscript"/>
              </w:rPr>
              <w:t xml:space="preserve">3</w:t>
            </w:r>
            <w:r>
              <w:rPr>
                <w:rStyle w:val="row-content-rich-text"/>
              </w:rPr>
              <w:t xml:space="preserve"> wider Relative Standard Error than the average for that indicator.</w:t>
            </w:r>
          </w:p>
          <w:p>
            <w:pPr>
              <w:spacing w:after="160"/>
            </w:pPr>
            <w:r>
              <w:rPr>
                <w:rStyle w:val="row-content-rich-text"/>
                <w:vertAlign w:val="superscript"/>
              </w:rPr>
              <w:t xml:space="preserve"> </w:t>
            </w:r>
          </w:p>
          <w:p>
            <w:pPr>
              <w:spacing w:after="160"/>
            </w:pPr>
            <w:r>
              <w:rPr>
                <w:rStyle w:val="row-content-rich-text"/>
              </w:rPr>
              <w:t xml:space="preserve"> </w:t>
            </w:r>
          </w:p>
          <w:p>
            <w:pPr>
              <w:spacing w:after="160"/>
            </w:pPr>
            <w:r>
              <w:rPr>
                <w:rStyle w:val="row-content-rich-text"/>
                <w:vertAlign w:val="superscript"/>
              </w:rPr>
              <w:t xml:space="preserve">1. For a dichotomous proportion, Relative Standard Error can be defined as the ratio of the standard error and the minimum of the estimate and its complement (100%–estimate).</w:t>
            </w:r>
          </w:p>
          <w:p>
            <w:pPr>
              <w:spacing w:after="160"/>
            </w:pPr>
            <w:r>
              <w:rPr>
                <w:rStyle w:val="row-content-rich-text"/>
                <w:vertAlign w:val="superscript"/>
              </w:rPr>
              <w:t xml:space="preserve">2. In this context, marginal is defined as within 10% of the 30% limit, or +/- 3%</w:t>
            </w:r>
          </w:p>
          <w:p>
            <w:pPr/>
            <w:r>
              <w:rPr>
                <w:rStyle w:val="row-content-rich-text"/>
                <w:vertAlign w:val="superscript"/>
              </w:rPr>
              <w:t xml:space="preserve">3. In this context, statistical significance is defined as at least two standard deviations above average.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100 × (Numerator ÷ Denominator)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people over 15 years of age who did not see or delayed seeing a medical specialist due to cost in the preceding 12 months.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6dde19c4cfa04d03">
              <w:r>
                <w:rPr>
                  <w:rStyle w:val="Hyperlink"/>
                </w:rPr>
                <w:t xml:space="preserve">Person—delayed visit to medical specialist due to cost, yes/no code N</w:t>
              </w:r>
            </w:hyperlink>
          </w:p>
          <w:p>
            <w:r>
              <w:rPr>
                <w:rStyle w:val="row-content"/>
                <w:b/>
              </w:rPr>
              <w:t xml:space="preserve">Data Source</w:t>
            </w:r>
          </w:p>
          <w:p>
            <w:hyperlink w:history="true" r:id="R56941db446ca4429">
              <w:r>
                <w:rPr>
                  <w:rStyle w:val="Hyperlink"/>
                </w:rPr>
                <w:t xml:space="preserve">ABS Patient Experience Survey (PEx)</w:t>
              </w:r>
            </w:hyperlink>
          </w:p>
          <w:p>
            <w:r>
              <w:rPr>
                <w:rStyle w:val="row-content"/>
                <w:b/>
              </w:rPr>
              <w:t xml:space="preserve">Guide for use</w:t>
            </w:r>
          </w:p>
          <w:p>
            <w:r>
              <w:rPr>
                <w:rStyle w:val="row-content"/>
              </w:rPr>
              <w:t xml:space="preserve">Data source type: Survey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Total number of adults aged 15 years and over who saw or needed to see a medical specialist in the preceding 12 months and were enumerated within the Medicare Local catchment.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r>
              <w:rPr>
                <w:rStyle w:val="row-content-rich-text"/>
              </w:rPr>
              <w:t xml:space="preserve">By Medicare Local catchments and Medicare Local peer groups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ecc72aba53a541e6">
              <w:r>
                <w:rPr>
                  <w:rStyle w:val="Hyperlink"/>
                </w:rPr>
                <w:t xml:space="preserve">Administrative health region—Medicare Local identifier, code AANNN</w:t>
              </w:r>
            </w:hyperlink>
          </w:p>
          <w:p>
            <w:r>
              <w:rPr>
                <w:rStyle w:val="row-content"/>
              </w:rPr>
              <w:t xml:space="preserve"> </w:t>
            </w:r>
          </w:p>
          <w:p>
            <w:r>
              <w:rPr>
                <w:rStyle w:val="row-content"/>
                <w:b/>
                <w:color w:val="000000"/>
              </w:rPr>
              <w:t xml:space="preserve">Data Element / Data Set</w:t>
            </w:r>
          </w:p>
          <w:p>
            <w:hyperlink w:history="true" r:id="Rf0835a9ad5ad47d4">
              <w:r>
                <w:rPr>
                  <w:rStyle w:val="Hyperlink"/>
                </w:rPr>
                <w:t xml:space="preserve">Administrative health region—Medicare Local peer group, code 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1c231e22d81d4b9b">
              <w:r>
                <w:rPr>
                  <w:rStyle w:val="Hyperlink"/>
                </w:rPr>
                <w:t xml:space="preserve">PAF-Equity of access</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36f305e6e8aa4261">
              <w:r>
                <w:rPr>
                  <w:rStyle w:val="Hyperlink"/>
                </w:rPr>
                <w:t xml:space="preserve">ABS Patient Experience Survey (PEx)</w:t>
              </w:r>
            </w:hyperlink>
          </w:p>
          <w:p>
            <w:r>
              <w:rPr>
                <w:rStyle w:val="row-content"/>
                <w:b/>
              </w:rPr>
              <w:t xml:space="preserve">Frequency</w:t>
            </w:r>
          </w:p>
          <w:p>
            <w:r>
              <w:rPr>
                <w:rStyle w:val="row-content"/>
              </w:rPr>
              <w:t xml:space="preserve">Annual</w:t>
            </w:r>
          </w:p>
          <w:p>
            <w:r>
              <w:rPr>
                <w:rStyle w:val="row-content"/>
                <w:b/>
              </w:rPr>
              <w:t xml:space="preserve">Data custodian</w:t>
            </w:r>
          </w:p>
          <w:p>
            <w:r>
              <w:rPr>
                <w:rStyle w:val="row-content"/>
              </w:rPr>
              <w:t xml:space="preserve">Australian Bureau of Statistics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Authority - Performance and Accountability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Bureau of Statistics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Accountability: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Authority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Release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19/03/2015</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National Health Performance Authority</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Healthy Communities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Performance Authority - Performance and Accountability Framework</w:t>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e97224b6466e482c">
              <w:r>
                <w:rPr>
                  <w:rStyle w:val="Hyperlink"/>
                </w:rPr>
                <w:t xml:space="preserve">National Health Performance Authority, Healthy Communities: Cost barriers to seeing a medical specialist, 2011–12 </w:t>
              </w:r>
            </w:hyperlink>
          </w:p>
          <w:p>
            <w:pPr>
              <w:pStyle w:val="registration-status"/>
              <w:spacing w:before="0" w:after="0"/>
            </w:pPr>
            <w:hyperlink w:history="true" r:id="R6d0dc299a61848f8">
              <w:r>
                <w:rPr>
                  <w:rStyle w:val="Hyperlink"/>
                  <w:color w:val="244061"/>
                </w:rPr>
                <w:t xml:space="preserve">National Health Performance Authority (retired)</w:t>
              </w:r>
            </w:hyperlink>
            <w:r>
              <w:rPr>
                <w:rStyle w:val="row-content"/>
                <w:color w:val="244061"/>
              </w:rPr>
              <w:t xml:space="preserve">, Superseded 19/03/2015</w:t>
            </w:r>
          </w:p>
          <w:p>
            <w:r>
              <w:br/>
            </w:r>
          </w:p>
        </w:tc>
      </w:tr>
    </w:tbl>
    <w:p>
      <w:r>
        <w:br/>
      </w:r>
    </w:p>
    <w:sectPr>
      <w:footerReference xmlns:r="http://schemas.openxmlformats.org/officeDocument/2006/relationships" w:type="default" r:id="Rd4b08798ed444f04"/>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601815</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61c39f03c7e14d3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4b08798ed444f04" /><Relationship Type="http://schemas.openxmlformats.org/officeDocument/2006/relationships/header" Target="/word/header1.xml" Id="Rbeaee829ef3d4ab4" /><Relationship Type="http://schemas.openxmlformats.org/officeDocument/2006/relationships/settings" Target="/word/settings.xml" Id="R2779c9c6c435423a" /><Relationship Type="http://schemas.openxmlformats.org/officeDocument/2006/relationships/styles" Target="/word/styles.xml" Id="Rd46936fd94a44aad" /><Relationship Type="http://schemas.openxmlformats.org/officeDocument/2006/relationships/numbering" Target="/word/numbering.xml" Id="R5e744ad1bb1d4db3" /><Relationship Type="http://schemas.openxmlformats.org/officeDocument/2006/relationships/hyperlink" Target="https://meteor.aihw.gov.au/RegistrationAuthority/8" TargetMode="External" Id="R0e76c1c94bec4db7" /><Relationship Type="http://schemas.openxmlformats.org/officeDocument/2006/relationships/hyperlink" Target="https://meteor.aihw.gov.au/content/550329" TargetMode="External" Id="R7cb3a1a2e0f240e8" /><Relationship Type="http://schemas.openxmlformats.org/officeDocument/2006/relationships/hyperlink" Target="https://meteor.aihw.gov.au/RegistrationAuthority/8" TargetMode="External" Id="R34b1fd5b36354d73" /><Relationship Type="http://schemas.openxmlformats.org/officeDocument/2006/relationships/hyperlink" Target="https://meteor.aihw.gov.au/content/573673" TargetMode="External" Id="R6dde19c4cfa04d03" /><Relationship Type="http://schemas.openxmlformats.org/officeDocument/2006/relationships/hyperlink" Target="https://meteor.aihw.gov.au/content/394410" TargetMode="External" Id="R56941db446ca4429" /><Relationship Type="http://schemas.openxmlformats.org/officeDocument/2006/relationships/hyperlink" Target="https://meteor.aihw.gov.au/content/513288" TargetMode="External" Id="Recc72aba53a541e6" /><Relationship Type="http://schemas.openxmlformats.org/officeDocument/2006/relationships/hyperlink" Target="https://meteor.aihw.gov.au/content/550733" TargetMode="External" Id="Rf0835a9ad5ad47d4" /><Relationship Type="http://schemas.openxmlformats.org/officeDocument/2006/relationships/hyperlink" Target="https://meteor.aihw.gov.au/content/554927" TargetMode="External" Id="R1c231e22d81d4b9b" /><Relationship Type="http://schemas.openxmlformats.org/officeDocument/2006/relationships/hyperlink" Target="https://meteor.aihw.gov.au/content/394410" TargetMode="External" Id="R36f305e6e8aa4261" /><Relationship Type="http://schemas.openxmlformats.org/officeDocument/2006/relationships/hyperlink" Target="https://meteor.aihw.gov.au/content/548011" TargetMode="External" Id="Re97224b6466e482c" /><Relationship Type="http://schemas.openxmlformats.org/officeDocument/2006/relationships/hyperlink" Target="https://meteor.aihw.gov.au/RegistrationAuthority/8" TargetMode="External" Id="R6d0dc299a61848f8" /></Relationships>
</file>

<file path=word/_rels/header1.xml.rels>&#65279;<?xml version="1.0" encoding="utf-8"?><Relationships xmlns="http://schemas.openxmlformats.org/package/2006/relationships"><Relationship Type="http://schemas.openxmlformats.org/officeDocument/2006/relationships/image" Target="/media/image.png" Id="R61c39f03c7e14d3e" /></Relationships>
</file>