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45d4b2b7e14ce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category, entitlement code 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category, entitlement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entitlement status; Beneficiary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dea2e80a5424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patient entitlement applicable for the prescribed Pharmaceutical Benefits Scheme (PBS) item being processed,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a560d124294314">
              <w:r>
                <w:rPr>
                  <w:rStyle w:val="Hyperlink"/>
                </w:rPr>
                <w:t xml:space="preserve">Pharmaceutical Benefits Scheme (PBS) prescription—patient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3977f720364a6c">
              <w:r>
                <w:rPr>
                  <w:rStyle w:val="Hyperlink"/>
                </w:rPr>
                <w:t xml:space="preserve">Patient entitlement category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w:t>
            </w:r>
          </w:p>
        </w:tc>
        <w:tc>
          <w:tcPr>
            <w:tcBorders>
              <w:top w:val="none" w:color="000000" w:sz="0"/>
              <w:left w:val="none" w:color="000000" w:sz="0"/>
              <w:bottom w:val="none" w:color="000000" w:sz="0"/>
              <w:right w:val="none" w:color="000000" w:sz="0"/>
            </w:tcBorders>
            <w:vAlign w:val="top"/>
          </w:tcPr>
          <w:p>
            <w:r>
              <w:t xml:space="preserve">General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w:t>
            </w:r>
          </w:p>
        </w:tc>
        <w:tc>
          <w:tcPr>
            <w:tcBorders>
              <w:top w:val="none" w:color="000000" w:sz="0"/>
              <w:left w:val="none" w:color="000000" w:sz="0"/>
              <w:bottom w:val="none" w:color="000000" w:sz="0"/>
              <w:right w:val="none" w:color="000000" w:sz="0"/>
            </w:tcBorders>
            <w:vAlign w:val="top"/>
          </w:tcPr>
          <w:p>
            <w:r>
              <w:t xml:space="preserve">Concession card holder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w:t>
            </w:r>
          </w:p>
        </w:tc>
        <w:tc>
          <w:tcPr>
            <w:tcBorders>
              <w:top w:val="none" w:color="000000" w:sz="0"/>
              <w:left w:val="none" w:color="000000" w:sz="0"/>
              <w:bottom w:val="none" w:color="000000" w:sz="0"/>
              <w:right w:val="none" w:color="000000" w:sz="0"/>
            </w:tcBorders>
            <w:vAlign w:val="top"/>
          </w:tcPr>
          <w:p>
            <w:r>
              <w:t xml:space="preserve">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Repatriation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and quadriplegic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GE   General consumer</w:t>
            </w:r>
          </w:p>
          <w:p>
            <w:pPr>
              <w:spacing w:after="160"/>
            </w:pPr>
            <w:r>
              <w:rPr>
                <w:rStyle w:val="row-content-rich-text"/>
              </w:rPr>
              <w:t xml:space="preserve">General consumers must hold a Medicare card, and pay the full patient contribution for PBS prescription items unless they reach the applicable general Safety Net threshold in a given calendar year.</w:t>
            </w:r>
          </w:p>
          <w:p>
            <w:pPr>
              <w:spacing w:after="160"/>
            </w:pPr>
            <w:r>
              <w:rPr>
                <w:rStyle w:val="row-content-rich-text"/>
              </w:rPr>
              <w:t xml:space="preserve">Under the Reciprocal Health Care Agreements, visitors from participating countries are treated as general consumers. To receive a pharmaceutical benefit, visitors must present either an interim Medicare card (blue), a Reciprocal Health Care Medicare card (pale green) or their passport.</w:t>
            </w:r>
          </w:p>
          <w:p>
            <w:pPr>
              <w:spacing w:after="160"/>
            </w:pPr>
            <w:r>
              <w:rPr>
                <w:rStyle w:val="row-content-rich-text"/>
              </w:rPr>
              <w:t xml:space="preserve">CODE CO   Concession card holder</w:t>
            </w:r>
          </w:p>
          <w:p>
            <w:pPr>
              <w:spacing w:after="160"/>
            </w:pPr>
            <w:r>
              <w:rPr>
                <w:rStyle w:val="row-content-rich-text"/>
              </w:rPr>
              <w:t xml:space="preserve">The first level of reduced patient contribution for PBS items.</w:t>
            </w:r>
          </w:p>
          <w:p>
            <w:pPr>
              <w:spacing w:after="160"/>
            </w:pPr>
            <w:r>
              <w:rPr>
                <w:rStyle w:val="row-content-rich-text"/>
              </w:rPr>
              <w:t xml:space="preserve">Concessional consumers must hold a Medicare card and at least one of the following cards from either Centrelink, the Department of Veterans' Affairs (DVA) or the Department of Human Services (DHS).</w:t>
            </w:r>
          </w:p>
          <w:p>
            <w:pPr>
              <w:pStyle w:val="ListParagraph"/>
              <w:numPr>
                <w:ilvl w:val="0"/>
                <w:numId w:val="2"/>
              </w:numPr>
            </w:pPr>
            <w:r>
              <w:rPr>
                <w:rStyle w:val="row-content-rich-text"/>
              </w:rPr>
              <w:t xml:space="preserve">Pensioner Concession card (Centrelink or DVA)</w:t>
            </w:r>
          </w:p>
          <w:p>
            <w:pPr>
              <w:pStyle w:val="ListParagraph"/>
              <w:numPr>
                <w:ilvl w:val="0"/>
                <w:numId w:val="2"/>
              </w:numPr>
            </w:pPr>
            <w:r>
              <w:rPr>
                <w:rStyle w:val="row-content-rich-text"/>
              </w:rPr>
              <w:t xml:space="preserve">Commonwealth Seniors Health card (Centrelink or DVA)</w:t>
            </w:r>
          </w:p>
          <w:p>
            <w:pPr>
              <w:pStyle w:val="ListParagraph"/>
              <w:numPr>
                <w:ilvl w:val="0"/>
                <w:numId w:val="2"/>
              </w:numPr>
            </w:pPr>
            <w:r>
              <w:rPr>
                <w:rStyle w:val="row-content-rich-text"/>
              </w:rPr>
              <w:t xml:space="preserve">Health Care card</w:t>
            </w:r>
          </w:p>
          <w:p>
            <w:pPr>
              <w:pStyle w:val="ListParagraph"/>
              <w:numPr>
                <w:ilvl w:val="0"/>
                <w:numId w:val="2"/>
              </w:numPr>
            </w:pPr>
            <w:r>
              <w:rPr>
                <w:rStyle w:val="row-content-rich-text"/>
              </w:rPr>
              <w:t xml:space="preserve">Safety Net concession card (general consumers who reach or exceed the applicable general Safety Net threshold in a given calendar year pay the same patient contribution as concession card holders for the remainder of that calendar year).</w:t>
            </w:r>
          </w:p>
          <w:p>
            <w:pPr>
              <w:spacing w:after="160"/>
            </w:pPr>
            <w:r>
              <w:rPr>
                <w:rStyle w:val="row-content-rich-text"/>
              </w:rPr>
              <w:t xml:space="preserve">CODE PE   Pensioner</w:t>
            </w:r>
          </w:p>
          <w:p>
            <w:pPr>
              <w:spacing w:after="160"/>
            </w:pPr>
            <w:r>
              <w:rPr>
                <w:rStyle w:val="row-content-rich-text"/>
              </w:rPr>
              <w:t xml:space="preserve">The second level of reduced patient contribution for PBS items.</w:t>
            </w:r>
          </w:p>
          <w:p>
            <w:pPr>
              <w:spacing w:after="160"/>
            </w:pPr>
            <w:r>
              <w:rPr>
                <w:rStyle w:val="row-content-rich-text"/>
              </w:rPr>
              <w:t xml:space="preserve">This code is only applicable to concession card holders (see Code 'CO' above) who reach or exceed the concessional Safety Net threshold in a given calendar year.</w:t>
            </w:r>
          </w:p>
          <w:p>
            <w:pPr>
              <w:spacing w:after="160"/>
            </w:pPr>
            <w:r>
              <w:rPr>
                <w:rStyle w:val="row-content-rich-text"/>
              </w:rPr>
              <w:t xml:space="preserve">PBS items for consumers in this category are supplied free of charge for the remainder of the calendar year, with the consumer continuing to pay any applicable special patient contributions, brand premiums or therapeutic group premiums.</w:t>
            </w:r>
          </w:p>
          <w:p>
            <w:pPr>
              <w:spacing w:after="160"/>
            </w:pPr>
            <w:r>
              <w:rPr>
                <w:rStyle w:val="row-content-rich-text"/>
              </w:rPr>
              <w:t xml:space="preserve">Safety Net consumers must hold a Safety Net Entitlement card ('SN' prefix on the number) issued by the Department of Human Services (DHS).</w:t>
            </w:r>
          </w:p>
          <w:p>
            <w:pPr>
              <w:spacing w:after="160"/>
            </w:pPr>
            <w:r>
              <w:rPr>
                <w:rStyle w:val="row-content-rich-text"/>
              </w:rPr>
              <w:t xml:space="preserve">CODE RE   Repatriation (Department of Veterans' Affairs)</w:t>
            </w:r>
          </w:p>
          <w:p>
            <w:pPr>
              <w:spacing w:after="160"/>
            </w:pPr>
            <w:r>
              <w:rPr>
                <w:rStyle w:val="row-content-rich-text"/>
              </w:rPr>
              <w:t xml:space="preserve">Veterans' Affairs claims.</w:t>
            </w:r>
          </w:p>
          <w:p>
            <w:pPr>
              <w:spacing w:after="160"/>
            </w:pPr>
            <w:r>
              <w:rPr>
                <w:rStyle w:val="row-content-rich-text"/>
              </w:rPr>
              <w:t xml:space="preserve">Repatriation consumers must hold one of the following cards from the Department of Veterans' Affairs (DVA).</w:t>
            </w:r>
          </w:p>
          <w:p>
            <w:pPr>
              <w:pStyle w:val="ListParagraph"/>
              <w:numPr>
                <w:ilvl w:val="0"/>
                <w:numId w:val="3"/>
              </w:numPr>
            </w:pPr>
            <w:r>
              <w:rPr>
                <w:rStyle w:val="row-content-rich-text"/>
              </w:rPr>
              <w:t xml:space="preserve">Repatriation Health Card For All Conditions (gold) - concessional patients under the Repatriation Pharmaceutical Benefits Scheme (RPBS)</w:t>
            </w:r>
          </w:p>
          <w:p>
            <w:pPr>
              <w:pStyle w:val="ListParagraph"/>
              <w:numPr>
                <w:ilvl w:val="0"/>
                <w:numId w:val="3"/>
              </w:numPr>
            </w:pPr>
            <w:r>
              <w:rPr>
                <w:rStyle w:val="row-content-rich-text"/>
              </w:rPr>
              <w:t xml:space="preserve">Repatriation Health Card For Specific Conditions (white) – only regarded as concessional patients for RPBS prescriptions unless they hold a separate entitlement from Centrelink, otherwise they are general patients</w:t>
            </w:r>
          </w:p>
          <w:p>
            <w:pPr>
              <w:pStyle w:val="ListParagraph"/>
              <w:numPr>
                <w:ilvl w:val="0"/>
                <w:numId w:val="3"/>
              </w:numPr>
            </w:pPr>
            <w:r>
              <w:rPr>
                <w:rStyle w:val="row-content-rich-text"/>
              </w:rPr>
              <w:t xml:space="preserve">Repatriation Pharmaceutical Benefits Card (orange) - concessional patients under the RPBS</w:t>
            </w:r>
          </w:p>
          <w:p>
            <w:pPr>
              <w:pStyle w:val="ListParagraph"/>
              <w:numPr>
                <w:ilvl w:val="0"/>
                <w:numId w:val="3"/>
              </w:numPr>
            </w:pPr>
            <w:r>
              <w:rPr>
                <w:rStyle w:val="row-content-rich-text"/>
              </w:rPr>
              <w:t xml:space="preserve">Safety Net Concession Card or Safety Net Entitlement Card - issued by the Department of Human Services.</w:t>
            </w:r>
          </w:p>
          <w:p>
            <w:pPr>
              <w:spacing w:after="160"/>
            </w:pPr>
            <w:r>
              <w:rPr>
                <w:rStyle w:val="row-content-rich-text"/>
              </w:rPr>
              <w:t xml:space="preserve">CODE DB   Prescriber Bag</w:t>
            </w:r>
          </w:p>
          <w:p>
            <w:pPr>
              <w:spacing w:after="160"/>
            </w:pPr>
            <w:r>
              <w:rPr>
                <w:rStyle w:val="row-content-rich-text"/>
              </w:rPr>
              <w:t xml:space="preserve">Also known as Doctor's Bag, particularly in the context of historical data.</w:t>
            </w:r>
          </w:p>
          <w:p>
            <w:pPr>
              <w:spacing w:after="160"/>
            </w:pPr>
            <w:r>
              <w:rPr>
                <w:rStyle w:val="row-content-rich-text"/>
              </w:rPr>
              <w:t xml:space="preserve">Items supplied on </w:t>
            </w:r>
            <w:hyperlink w:tooltip="A provision within the Pharmaceutical Benefits Scheme (PBS) whereby certain pharmaceutical benefits are provided without charge to prescribers who, in turn, can supply them free to patients for emergency use." w:history="true" r:id="Rcdb9e49af88444d3">
              <w:r>
                <w:rPr>
                  <w:rStyle w:val="Hyperlink"/>
                  <w:b/>
                </w:rPr>
                <w:t xml:space="preserve">Prescriber Bag</w:t>
              </w:r>
            </w:hyperlink>
            <w:r>
              <w:rPr>
                <w:rStyle w:val="row-content-rich-text"/>
              </w:rPr>
              <w:t xml:space="preserve"> order forms. Consumers currently pay no contribution.</w:t>
            </w:r>
          </w:p>
          <w:p>
            <w:pPr>
              <w:spacing w:after="160"/>
            </w:pPr>
            <w:r>
              <w:rPr>
                <w:rStyle w:val="row-content-rich-text"/>
              </w:rPr>
              <w:t xml:space="preserve">CODE OC   Stoma</w:t>
            </w:r>
          </w:p>
          <w:p>
            <w:pPr>
              <w:spacing w:after="160"/>
            </w:pPr>
            <w:r>
              <w:rPr>
                <w:rStyle w:val="row-content-rich-text"/>
              </w:rPr>
              <w:t xml:space="preserve">This code applies to those patients who are likely to claim benefits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Medicare through one of the associations.</w:t>
            </w:r>
          </w:p>
          <w:p>
            <w:pPr>
              <w:spacing w:after="160"/>
            </w:pPr>
            <w:r>
              <w:rPr>
                <w:rStyle w:val="row-content-rich-text"/>
              </w:rPr>
              <w:t xml:space="preserve">CODE OP   Paraplegic and quadriplegic</w:t>
            </w:r>
          </w:p>
          <w:p>
            <w:pPr>
              <w:spacing w:after="160"/>
            </w:pPr>
            <w:r>
              <w:rPr>
                <w:rStyle w:val="row-content-rich-text"/>
              </w:rPr>
              <w:t xml:space="preserve">This code applies to those patients who claim PBS benefits related to the provision of paraplegic- or quadriplegic-related products.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Medicare through one of the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payment type code is determined by the pharmacist at the time of supply and is indicated on the prescription form. For electronically submitted claims, the payment type code information is supplied from the pharmacy computer system. For manually entered claims, the payment type code is keyed by the operator.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2c4f0403793949c8">
              <w:r>
                <w:rPr>
                  <w:rStyle w:val="Hyperlink"/>
                </w:rPr>
                <w:t xml:space="preserve">http://www.health.gov.au/internet/main/publishing.nsf/</w:t>
              </w:r>
              <w:r>
                <w:br/>
              </w:r>
              <w:r>
                <w:rPr>
                  <w:rStyle w:val="row-content-rich-text"/>
                </w:rPr>
                <w:t xml:space="preserve">Content/Stoma+Appliance+Scheme-3</w:t>
              </w:r>
            </w:hyperlink>
          </w:p>
          <w:p>
            <w:pPr>
              <w:spacing w:after="160"/>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8d165193eb064606">
              <w:r>
                <w:rPr>
                  <w:rStyle w:val="Hyperlink"/>
                </w:rPr>
                <w:t xml:space="preserve">https://www.comlaw.gov.au/Details/F2015C00562</w:t>
              </w:r>
            </w:hyperlink>
          </w:p>
          <w:p>
            <w:pPr/>
            <w:r>
              <w:rPr>
                <w:rStyle w:val="row-content-rich-text"/>
              </w:rPr>
              <w:t xml:space="preserve">Department of Human Services 2015. Pharmaceutical Benefits Scheme (PBS) Safety Net. Department of Human Services, Canberra. Viewed 22 September 2015,</w:t>
            </w:r>
            <w:r>
              <w:br/>
            </w:r>
            <w:hyperlink w:history="true" r:id="R8219221fadd74ba1">
              <w:r>
                <w:rPr>
                  <w:rStyle w:val="Hyperlink"/>
                </w:rPr>
                <w:t xml:space="preserve">http://www.humanservices.gov.au/customer/services/medicare/pbs-safety-net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represents the patient's entitlement category as at the date of supply of the PBS item to the patient or PBS consumer.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9328893f224f49">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ec59649690954ae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7de09372f344156">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1944a41615294e9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acccdbf8c4f79">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044dd7292a4f47de">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PYMNT_CTGRY_CD</w:t>
            </w:r>
          </w:p>
          <w:p>
            <w:r>
              <w:br/>
            </w:r>
            <w:r>
              <w:br/>
            </w:r>
          </w:p>
        </w:tc>
      </w:tr>
    </w:tbl>
    <w:p/>
    <w:tbl>
      <w:tblPr>
        <w:tblStyle w:val="TableGrid"/>
        <w:tblW w:w="0" w:type="auto"/>
      </w:tblPr>
    </w:tbl>
    <w:p>
      <w:r>
        <w:br/>
      </w:r>
    </w:p>
    <w:sectPr>
      <w:footerReference xmlns:r="http://schemas.openxmlformats.org/officeDocument/2006/relationships" w:type="default" r:id="Rf13808f05f29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ba56f1754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808f05f29430c" /><Relationship Type="http://schemas.openxmlformats.org/officeDocument/2006/relationships/header" Target="/word/header1.xml" Id="Rf5c0e8cb401d4db2" /><Relationship Type="http://schemas.openxmlformats.org/officeDocument/2006/relationships/settings" Target="/word/settings.xml" Id="Rbc6d8e01431340a7" /><Relationship Type="http://schemas.openxmlformats.org/officeDocument/2006/relationships/styles" Target="/word/styles.xml" Id="R85aa06df0afc4abd" /><Relationship Type="http://schemas.openxmlformats.org/officeDocument/2006/relationships/hyperlink" Target="https://meteor.aihw.gov.au/RegistrationAuthority/10" TargetMode="External" Id="R8d4dea2e80a5424a" /><Relationship Type="http://schemas.openxmlformats.org/officeDocument/2006/relationships/hyperlink" Target="https://meteor.aihw.gov.au/content/600974" TargetMode="External" Id="Rbca560d124294314" /><Relationship Type="http://schemas.openxmlformats.org/officeDocument/2006/relationships/hyperlink" Target="https://meteor.aihw.gov.au/content/600690" TargetMode="External" Id="Re53977f720364a6c" /><Relationship Type="http://schemas.openxmlformats.org/officeDocument/2006/relationships/numbering" Target="/word/numbering.xml" Id="R0da35a0885de468e" /><Relationship Type="http://schemas.openxmlformats.org/officeDocument/2006/relationships/hyperlink" Target="https://meteor.aihw.gov.au/content/600706" TargetMode="External" Id="Rcdb9e49af88444d3" /><Relationship Type="http://schemas.openxmlformats.org/officeDocument/2006/relationships/hyperlink" Target="http://www.health.gov.au/internet/main/publishing.nsf/Content/Stoma+Appliance+Scheme-3" TargetMode="External" Id="R2c4f0403793949c8" /><Relationship Type="http://schemas.openxmlformats.org/officeDocument/2006/relationships/hyperlink" Target="https://www.comlaw.gov.au/Details/F2015C00562" TargetMode="External" Id="R8d165193eb064606" /><Relationship Type="http://schemas.openxmlformats.org/officeDocument/2006/relationships/hyperlink" Target="http://www.humanservices.gov.au/customer/services/medicare/pbs-safety-net" TargetMode="External" Id="R8219221fadd74ba1" /><Relationship Type="http://schemas.openxmlformats.org/officeDocument/2006/relationships/hyperlink" Target="https://meteor.aihw.gov.au/content/604103" TargetMode="External" Id="R3e9328893f224f49" /><Relationship Type="http://schemas.openxmlformats.org/officeDocument/2006/relationships/hyperlink" Target="https://meteor.aihw.gov.au/RegistrationAuthority/10" TargetMode="External" Id="Rec59649690954ae9" /><Relationship Type="http://schemas.openxmlformats.org/officeDocument/2006/relationships/hyperlink" Target="https://meteor.aihw.gov.au/content/600989" TargetMode="External" Id="Rd7de09372f344156" /><Relationship Type="http://schemas.openxmlformats.org/officeDocument/2006/relationships/hyperlink" Target="https://meteor.aihw.gov.au/RegistrationAuthority/10" TargetMode="External" Id="R1944a41615294e91" /><Relationship Type="http://schemas.openxmlformats.org/officeDocument/2006/relationships/hyperlink" Target="https://meteor.aihw.gov.au/content/602524" TargetMode="External" Id="Raa8acccdbf8c4f79" /><Relationship Type="http://schemas.openxmlformats.org/officeDocument/2006/relationships/hyperlink" Target="https://meteor.aihw.gov.au/RegistrationAuthority/10" TargetMode="External" Id="R044dd7292a4f47de" /></Relationships>
</file>

<file path=word/_rels/header1.xml.rels>&#65279;<?xml version="1.0" encoding="utf-8"?><Relationships xmlns="http://schemas.openxmlformats.org/package/2006/relationships"><Relationship Type="http://schemas.openxmlformats.org/officeDocument/2006/relationships/image" Target="/media/image.png" Id="Ra81ba56f17544b93" /></Relationships>
</file>