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e299618edf54857" /></Relationships>
</file>

<file path=word/document.xml><?xml version="1.0" encoding="utf-8"?>
<w:document xmlns:r="http://schemas.openxmlformats.org/officeDocument/2006/relationships" xmlns:w="http://schemas.openxmlformats.org/wordprocessingml/2006/main">
  <w:body>
    <w:p>
      <w:pPr>
        <w:pStyle w:val="Title"/>
      </w:pPr>
      <w:r>
        <w:t>National Opioid Pharmacotherapy Statistics Annual Data collection 2014;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Opioid Pharmacotherapy Statistics Annual Data collection 2014;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600600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08293321f504793">
              <w:r>
                <w:rPr>
                  <w:rStyle w:val="Hyperlink"/>
                  <w:color w:val="244061"/>
                </w:rPr>
                <w:t xml:space="preserve">AIHW Data Quality Statements</w:t>
              </w:r>
            </w:hyperlink>
            <w:r>
              <w:rPr>
                <w:rStyle w:val="row-content"/>
                <w:color w:val="244061"/>
              </w:rPr>
              <w:t xml:space="preserve">, Superseded 06/04/2016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Each state and territory uses different methods to collect data about the pharmacotherapy used to treat those with opioid dependence. These methods are driven by differences between the states and territories in relation to legislation, information technology systems and resources. Caution should be taken when comparing one state or territory with another.</w:t>
            </w:r>
          </w:p>
          <w:p>
            <w:pPr>
              <w:pStyle w:val="ListParagraph"/>
              <w:numPr>
                <w:ilvl w:val="0"/>
                <w:numId w:val="2"/>
              </w:numPr>
            </w:pPr>
            <w:r>
              <w:rPr>
                <w:rStyle w:val="row-content-rich-text"/>
              </w:rPr>
              <w:t xml:space="preserve">New South Wales is unable to differentiate between clients prescribed buprenorphine and buprenorphine-naloxone.</w:t>
            </w:r>
          </w:p>
          <w:p>
            <w:pPr>
              <w:pStyle w:val="ListParagraph"/>
              <w:numPr>
                <w:ilvl w:val="0"/>
                <w:numId w:val="2"/>
              </w:numPr>
            </w:pPr>
            <w:r>
              <w:rPr>
                <w:rStyle w:val="row-content-rich-text"/>
              </w:rPr>
              <w:t xml:space="preserve">Indigenous status of client is not reported by Victoria and Western Australia.</w:t>
            </w:r>
          </w:p>
          <w:p>
            <w:pPr>
              <w:pStyle w:val="ListParagraph"/>
              <w:numPr>
                <w:ilvl w:val="0"/>
                <w:numId w:val="2"/>
              </w:numPr>
            </w:pPr>
            <w:r>
              <w:rPr>
                <w:rStyle w:val="row-content-rich-text"/>
              </w:rPr>
              <w:t xml:space="preserve">In Western Australia, the number of clients receiving pharmacotherapy treatment is reported through the month of June (rather than on a snapshot day), likely resulting in an over-representation of clients in Western Australia.</w:t>
            </w:r>
          </w:p>
          <w:p>
            <w:pPr>
              <w:pStyle w:val="ListParagraph"/>
              <w:numPr>
                <w:ilvl w:val="0"/>
                <w:numId w:val="2"/>
              </w:numPr>
            </w:pPr>
            <w:r>
              <w:rPr>
                <w:rStyle w:val="row-content-rich-text"/>
              </w:rPr>
              <w:t xml:space="preserve">From 2013, Victoria was unable to provide reliable age and sex data for individual pharmacotherapy drug types. Prior to 2013, an imputation strategy was used to produce this information.</w:t>
            </w:r>
          </w:p>
          <w:p>
            <w:pPr>
              <w:pStyle w:val="ListParagraph"/>
              <w:numPr>
                <w:ilvl w:val="0"/>
                <w:numId w:val="2"/>
              </w:numPr>
            </w:pPr>
            <w:r>
              <w:rPr>
                <w:rStyle w:val="row-content-rich-text"/>
              </w:rPr>
              <w:t xml:space="preserve">In 2013, up to 5 opioid drugs of dependence were able to be reported. In 2014, only 1 opioid drug of dependence may be reported. Victoria still reports up to 5 drugs of dependence.</w:t>
            </w:r>
          </w:p>
          <w:p>
            <w:pPr>
              <w:pStyle w:val="ListParagraph"/>
              <w:numPr>
                <w:ilvl w:val="0"/>
                <w:numId w:val="2"/>
              </w:numPr>
            </w:pPr>
            <w:r>
              <w:rPr>
                <w:rStyle w:val="row-content-rich-text"/>
              </w:rPr>
              <w:t xml:space="preserve">The number of clients per prescriber and number of clients per dosing point site have been reported for the first time in 2014. </w:t>
            </w:r>
          </w:p>
          <w:p>
            <w:pPr>
              <w:pStyle w:val="ListParagraph"/>
              <w:numPr>
                <w:ilvl w:val="0"/>
                <w:numId w:val="2"/>
              </w:numPr>
            </w:pPr>
            <w:r>
              <w:rPr>
                <w:rStyle w:val="row-content-rich-text"/>
              </w:rPr>
              <w:t xml:space="preserve">Unit record data were provided by all jurisdictions except Victoria and Queensland.</w:t>
            </w:r>
          </w:p>
          <w:p>
            <w:pPr>
              <w:spacing w:after="160"/>
            </w:pPr>
            <w:r>
              <w:rPr>
                <w:rStyle w:val="row-content-rich-text"/>
                <w:b/>
              </w:rPr>
              <w:t xml:space="preserve">Description</w:t>
            </w:r>
          </w:p>
          <w:p>
            <w:pPr>
              <w:spacing w:after="160"/>
            </w:pPr>
            <w:r>
              <w:rPr>
                <w:rStyle w:val="row-content-rich-text"/>
              </w:rPr>
              <w:t xml:space="preserve">The NOPSAD collection includes information on 3 opioid pharmacotherapy drugs used for treating opioid dependence. These drugs are methadone, buprenorphine and buprenorphine-naloxone. Each state and territory collects agreed data about clients receiving opioid pharmacotherapy on a snapshot day, usually in June each year. The snapshot day varies between states and territories.</w:t>
            </w:r>
          </w:p>
          <w:p>
            <w:pPr>
              <w:spacing w:after="160"/>
            </w:pPr>
            <w:r>
              <w:rPr>
                <w:rStyle w:val="row-content-rich-text"/>
              </w:rPr>
              <w:t xml:space="preserve">Since 2012, selected jurisdictions have provided the AIHW with unit record data in addition to aggregate data. Unit record data is provided by all jurisdictions except Victoria and Queensland.</w:t>
            </w:r>
          </w:p>
          <w:p>
            <w:pPr>
              <w:spacing w:after="160"/>
            </w:pPr>
            <w:r>
              <w:rPr>
                <w:rStyle w:val="row-content-rich-text"/>
              </w:rPr>
              <w:t xml:space="preserve">While states and territories strive to report data consistent with agreed standards, the NOPSAD collection is not a national minimum data set and some inconsistencies exist in the ways in which data are reported.</w:t>
            </w:r>
          </w:p>
          <w:p>
            <w:pPr/>
            <w:r>
              <w:rPr>
                <w:rStyle w:val="row-content-rich-text"/>
              </w:rPr>
              <w:t xml:space="preserve">The NOPSAD collection is one of a number of data sources that provide a picture of alcohol and other drug treatment services in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is a major national agency set up by the Australian Government under the </w:t>
            </w:r>
            <w:hyperlink w:history="true" r:id="R0414ee58307b4676">
              <w:r>
                <w:rPr>
                  <w:rStyle w:val="Hyperlink"/>
                  <w:i/>
                </w:rPr>
                <w:t xml:space="preserve">Australian Institute of Health and Welfare Act 1987</w:t>
              </w:r>
            </w:hyperlink>
            <w:r>
              <w:rPr>
                <w:rStyle w:val="row-content-rich-text"/>
              </w:rPr>
              <w:t xml:space="preserve"> to provide reliable, regular and relevant information and statistics on Australia’s health and welfare. It is an corporate Commonwealth entity established in 1987, governed by a management board,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 sets based on data from each jurisdiction, to analyse these data sets and disseminate information and statistics.</w:t>
            </w:r>
          </w:p>
          <w:p>
            <w:pPr>
              <w:spacing w:after="160"/>
            </w:pPr>
            <w:r>
              <w:rPr>
                <w:rStyle w:val="row-content-rich-text"/>
              </w:rPr>
              <w:t xml:space="preserve">The </w:t>
            </w:r>
            <w:hyperlink w:history="true" r:id="Rfacd27f81230458c">
              <w:r>
                <w:rPr>
                  <w:rStyle w:val="Hyperlink"/>
                  <w:i/>
                </w:rPr>
                <w:t xml:space="preserve">Australian Institute of Health and Welfare Act 1987</w:t>
              </w:r>
            </w:hyperlink>
            <w:r>
              <w:rPr>
                <w:rStyle w:val="row-content-rich-text"/>
              </w:rPr>
              <w:t xml:space="preserve">, in conjunction with compliance to the </w:t>
            </w:r>
            <w:hyperlink w:history="true" r:id="Re7e6fc084c144007">
              <w:r>
                <w:rPr>
                  <w:rStyle w:val="Hyperlink"/>
                  <w:i/>
                </w:rPr>
                <w:t xml:space="preserve">Privacy Act 1988</w:t>
              </w:r>
            </w:hyperlink>
            <w:r>
              <w:rPr>
                <w:rStyle w:val="row-content-rich-text"/>
              </w:rPr>
              <w:t xml:space="preserve"> (Cth),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&lt;</w:t>
            </w:r>
            <w:hyperlink w:history="true" r:id="Rb5765fc4311e4d19">
              <w:r>
                <w:rPr>
                  <w:rStyle w:val="Hyperlink"/>
                </w:rPr>
                <w:t xml:space="preserve">www.aihw.gov.au</w:t>
              </w:r>
            </w:hyperlink>
            <w:r>
              <w:rPr>
                <w:rStyle w:val="row-content-rich-text"/>
              </w:rPr>
              <w:t xml:space="preserve">&gt;.</w:t>
            </w:r>
          </w:p>
          <w:p>
            <w:pPr/>
            <w:r>
              <w:rPr>
                <w:rStyle w:val="row-content-rich-text"/>
              </w:rPr>
              <w:t xml:space="preserve">Opioid pharmacotherapy prescribers and dosing points may be required to provide data to states and territories though a variety of administrative arrangements, contractual requirements or legislation. State and territory health authorities collate these data according to agreed specifications and report to the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collected by states and territories on a snapshot day in June 2014 in accordance with NOPSAD specifications.</w:t>
            </w:r>
          </w:p>
          <w:p>
            <w:pPr/>
            <w:r>
              <w:rPr>
                <w:rStyle w:val="row-content-rich-text"/>
              </w:rPr>
              <w:t xml:space="preserve">Jurisdictions receive, collate and clean this data, providing it in aggregate form to the AIHW between October and December 2014. The AIHW analyses and reports on the data provided, with annual data available within 6 months of the finalisation of the national data set, usually in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Publications containing NOPSAD data, including the annual </w:t>
            </w:r>
            <w:r>
              <w:rPr>
                <w:rStyle w:val="row-content-rich-text"/>
                <w:i/>
              </w:rPr>
              <w:t xml:space="preserve">National opioid pharmacotherapy statistics</w:t>
            </w:r>
            <w:r>
              <w:rPr>
                <w:rStyle w:val="row-content-rich-text"/>
              </w:rPr>
              <w:t xml:space="preserve"> reports, are available on the AIHW website &lt;</w:t>
            </w:r>
            <w:hyperlink w:history="true" r:id="Rcf0c676088ea427a">
              <w:r>
                <w:rPr>
                  <w:rStyle w:val="Hyperlink"/>
                </w:rPr>
                <w:t xml:space="preserve">www.aihw.gov.au/alcohol-and-other-drugs-publications/</w:t>
              </w:r>
            </w:hyperlink>
            <w:r>
              <w:rPr>
                <w:rStyle w:val="row-content-rich-text"/>
              </w:rPr>
              <w:t xml:space="preserve">&gt;. These reports are available for download free of charge. To enhance data availability, a series of supplementary tables accompanying the annual report is also available online.</w:t>
            </w:r>
          </w:p>
          <w:p>
            <w:pPr/>
            <w:r>
              <w:rPr>
                <w:rStyle w:val="row-content-rich-text"/>
              </w:rPr>
              <w:t xml:space="preserve">Requests for unpublished data can be made throught AIHW website &lt;</w:t>
            </w:r>
            <w:hyperlink w:history="true" r:id="R97f09d7e9b7e4e8f">
              <w:r>
                <w:rPr>
                  <w:rStyle w:val="Hyperlink"/>
                </w:rPr>
                <w:t xml:space="preserve">www.aihw.gov.au/custom-data-request-service/</w:t>
              </w:r>
            </w:hyperlink>
            <w:r>
              <w:rPr>
                <w:rStyle w:val="row-content-rich-text"/>
              </w:rPr>
              <w:t xml:space="preserve">&gt;. There is a charge for custome data requests. Depending on the nature of the request, requests for access to unpublished data may require approval from the AIHW Ethics Committee.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data guide outlining the data items in detail is produced annually and available by contacting the AIHW by email to </w:t>
            </w:r>
            <w:hyperlink w:history="true" r:id="Rff8373d264fb469a">
              <w:r>
                <w:rPr>
                  <w:rStyle w:val="Hyperlink"/>
                </w:rPr>
                <w:t xml:space="preserve">aod@aihw.gov.au</w:t>
              </w:r>
            </w:hyperlink>
            <w:r>
              <w:rPr>
                <w:rStyle w:val="row-content-rich-text"/>
              </w:rPr>
              <w:t xml:space="preserve">.</w:t>
            </w:r>
          </w:p>
          <w:p>
            <w:pPr>
              <w:spacing w:after="160"/>
            </w:pPr>
            <w:r>
              <w:rPr>
                <w:rStyle w:val="row-content-rich-text"/>
              </w:rPr>
              <w:t xml:space="preserve">Information on opioid use is available in the annual </w:t>
            </w:r>
            <w:r>
              <w:rPr>
                <w:rStyle w:val="row-content-rich-text"/>
                <w:i/>
              </w:rPr>
              <w:t xml:space="preserve">National opioid pharmacotherapy statistics </w:t>
            </w:r>
            <w:r>
              <w:rPr>
                <w:rStyle w:val="row-content-rich-text"/>
              </w:rPr>
              <w:t xml:space="preserve">reports. Definitions of terms used are in the report to assist with interpretability.</w:t>
            </w:r>
          </w:p>
          <w:p>
            <w:pPr/>
            <w:r>
              <w:rPr>
                <w:rStyle w:val="row-content-rich-text"/>
              </w:rPr>
              <w:t xml:space="preserve">Data published in the annual </w:t>
            </w:r>
            <w:r>
              <w:rPr>
                <w:rStyle w:val="row-content-rich-text"/>
                <w:i/>
              </w:rPr>
              <w:t xml:space="preserve">National opioid pharmacotherapy statistics</w:t>
            </w:r>
            <w:r>
              <w:rPr>
                <w:rStyle w:val="row-content-rich-text"/>
              </w:rPr>
              <w:t xml:space="preserve"> reports include additional important caveat information to ensure appropriate interpretation of the analyses presented by the AIHW. Readers are advised to take note of footnotes and caveats specific to individual data tables that influence interpretability of specific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NOPSAD collection comprises data about opioid pharmacotherapy clients, prescribers and dosing points collected by state and territory health departments. Each state and territory uses different methods to collect data about the pharmacotherapy used to treat those with opioid dependence. Further information on these differences can be found in the annual </w:t>
            </w:r>
            <w:r>
              <w:rPr>
                <w:rStyle w:val="row-content-rich-text"/>
                <w:i/>
              </w:rPr>
              <w:t xml:space="preserve">National opioid pharmacotherapy statistics</w:t>
            </w:r>
            <w:r>
              <w:rPr>
                <w:rStyle w:val="row-content-rich-text"/>
              </w:rPr>
              <w:t xml:space="preserve"> reports.</w:t>
            </w:r>
          </w:p>
          <w:p>
            <w:pPr>
              <w:spacing w:after="160"/>
            </w:pPr>
            <w:r>
              <w:rPr>
                <w:rStyle w:val="row-content-rich-text"/>
              </w:rPr>
              <w:t xml:space="preserve">The NOPSAD collection is essential in monitoring treatment for opioid dependence nationally. It is one of a number of data sources that provide a picture of alcohol and other drug treatment services in Australia. Data from the collection can also be considered with information from other sources—including the Alcohol and Other Drug Treatment Services National Minimum Data Set (AODTS NMDS) and the National Drug Strategy Household Survey (NDSHS)—to inform debate, policy decisions and planning processes that occur within the broader alcohol and other drug treatment sector. More specifically, pharmacotherapy data are used in states and territories to:</w:t>
            </w:r>
          </w:p>
          <w:p>
            <w:pPr>
              <w:pStyle w:val="ListParagraph"/>
              <w:numPr>
                <w:ilvl w:val="0"/>
                <w:numId w:val="3"/>
              </w:numPr>
            </w:pPr>
            <w:r>
              <w:rPr>
                <w:rStyle w:val="row-content-rich-text"/>
              </w:rPr>
              <w:t xml:space="preserve">monitor resources required for pharmacotherapy treatment, such as the number of prescribers and dosing point sites</w:t>
            </w:r>
          </w:p>
          <w:p>
            <w:pPr>
              <w:pStyle w:val="ListParagraph"/>
              <w:numPr>
                <w:ilvl w:val="0"/>
                <w:numId w:val="3"/>
              </w:numPr>
            </w:pPr>
            <w:r>
              <w:rPr>
                <w:rStyle w:val="row-content-rich-text"/>
              </w:rPr>
              <w:t xml:space="preserve">monitor and plan services (for example, monitoring prescriber patterns and the number of clients)</w:t>
            </w:r>
          </w:p>
          <w:p>
            <w:pPr>
              <w:pStyle w:val="ListParagraph"/>
              <w:numPr>
                <w:ilvl w:val="0"/>
                <w:numId w:val="3"/>
              </w:numPr>
            </w:pPr>
            <w:r>
              <w:rPr>
                <w:rStyle w:val="row-content-rich-text"/>
              </w:rPr>
              <w:t xml:space="preserve">develop and refine policies relating to the treatment of clients with opioid dependency</w:t>
            </w:r>
          </w:p>
          <w:p>
            <w:pPr>
              <w:pStyle w:val="ListParagraph"/>
              <w:numPr>
                <w:ilvl w:val="0"/>
                <w:numId w:val="3"/>
              </w:numPr>
            </w:pPr>
            <w:r>
              <w:rPr>
                <w:rStyle w:val="row-content-rich-text"/>
              </w:rPr>
              <w:t xml:space="preserve">track the number of clients moving between the public and private sectors.</w:t>
            </w:r>
          </w:p>
          <w:p>
            <w:pPr/>
            <w:r>
              <w:rPr>
                <w:rStyle w:val="row-content-rich-text"/>
              </w:rPr>
              <w:t xml:space="preserve">Data are also used more broadly to fill gaps in national treatment services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NOPSAD data are collected on a ‘snapshot’ day in June 2014. Snapshot data provide an indication of pharmacotherapy treatment activity on a specified day, but do not capture the total estimated activity for any given year. For example, a client receiving takeaway methadone who does not enter a dosing point on the snapshot day may not be counted in the collection. Alternatively, a client may enter and leave treatment prior to the snapshot day and may not be counted. However, snapshot data are considered to be a good representation of the total client base and this method should be kept in mind when comparing the NOPSAD collection with other collections that use different data collection periods. In Western Australia, the number of clients receiving pharmacotherapy treatment is reported through the month of June (rather than on a snapshot day), likely resulting in an over-representation of clients in Western Australia.</w:t>
            </w:r>
          </w:p>
          <w:p>
            <w:pPr>
              <w:spacing w:after="160"/>
            </w:pPr>
            <w:r>
              <w:rPr>
                <w:rStyle w:val="row-content-rich-text"/>
              </w:rPr>
              <w:t xml:space="preserve">States and territories are primarily responsible for the quality of the data they provide. However, the AIHW undertakes extensive validations on receipt of data. Data are checked for valid values, logical consistency and historical consistency. Potential errors are queried with jurisdictions, and corrections and resubmissions may be made by them in response to these edit queries. The AIHW does not adjust these data to account for possible data errors or missing or incorrect values.</w:t>
            </w:r>
          </w:p>
          <w:p>
            <w:pPr>
              <w:spacing w:after="160"/>
            </w:pPr>
            <w:r>
              <w:rPr>
                <w:rStyle w:val="row-content-rich-text"/>
              </w:rPr>
              <w:t xml:space="preserve">State and territory governments use different methods to collect data about the clients, prescribers and dosing points associated with the opioid pharmacotherapy system. These methods are driven by differences between the states and territories in relation to legislation, information technology systems and resources. The differences may result in discrepancies when comparing one state or territory with another.</w:t>
            </w:r>
          </w:p>
          <w:p>
            <w:pPr>
              <w:spacing w:after="160"/>
            </w:pPr>
            <w:r>
              <w:rPr>
                <w:rStyle w:val="row-content-rich-text"/>
              </w:rPr>
              <w:t xml:space="preserve">New South Wales is unable to differentiate between clients prescribed buprenorphine and buprenorphine-naloxone.</w:t>
            </w:r>
          </w:p>
          <w:p>
            <w:pPr>
              <w:spacing w:after="160"/>
            </w:pPr>
            <w:r>
              <w:rPr>
                <w:rStyle w:val="row-content-rich-text"/>
              </w:rPr>
              <w:t xml:space="preserve">Indigenous status of client is not reported by Victoria and Western Australia.</w:t>
            </w:r>
          </w:p>
          <w:p>
            <w:pPr/>
            <w:r>
              <w:rPr>
                <w:rStyle w:val="row-content-rich-text"/>
              </w:rPr>
              <w:t xml:space="preserve">From 2013, Victoria was unable to provide reliable age and sex data for individual pharmacotherapy drug types. Prior to this, an imputation strategy was used to produce this information.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NOPSAD collection is reported annually. The method of data collection and elements collected is consistent between years, allowing for meaningful comparisons over time.</w:t>
            </w:r>
          </w:p>
          <w:p>
            <w:pPr>
              <w:spacing w:after="160"/>
            </w:pPr>
            <w:r>
              <w:rPr>
                <w:rStyle w:val="row-content-rich-text"/>
              </w:rPr>
              <w:t xml:space="preserve">In Western Australia, the number of clients receiving pharmacotherapy treatment is reported through the month of June (rather than on a snapshot day), likely resulting in an over-representation of clients in Western Australia.</w:t>
            </w:r>
          </w:p>
          <w:p>
            <w:pPr>
              <w:spacing w:after="160"/>
            </w:pPr>
            <w:r>
              <w:rPr>
                <w:rStyle w:val="row-content-rich-text"/>
              </w:rPr>
              <w:t xml:space="preserve">In 2012, unit record data (rather than aggregate data) were provided by South Australia, Tasmania, the Australian Capital Territory and the Northern Territory. Data were not used in the </w:t>
            </w:r>
            <w:r>
              <w:rPr>
                <w:rStyle w:val="row-content-rich-text"/>
                <w:i/>
              </w:rPr>
              <w:t xml:space="preserve">National opioid pharmacotherapy statistics annual data collection 2012</w:t>
            </w:r>
            <w:r>
              <w:rPr>
                <w:rStyle w:val="row-content-rich-text"/>
              </w:rPr>
              <w:t xml:space="preserve"> report due to limitations in coverage. Since 2013, unit record data were provided by all jurisdictions except Victoria and Queensland.</w:t>
            </w:r>
          </w:p>
          <w:p>
            <w:pPr>
              <w:spacing w:after="160"/>
            </w:pPr>
            <w:r>
              <w:rPr>
                <w:rStyle w:val="row-content-rich-text"/>
              </w:rPr>
              <w:t xml:space="preserve">In 2012, geographic location of dosing point sites at the Australian Statistical Geographical Classification Statistical area level 2 (ASGS SA2) were reported for the first time.</w:t>
            </w:r>
          </w:p>
          <w:p>
            <w:pPr>
              <w:spacing w:after="160"/>
            </w:pPr>
            <w:r>
              <w:rPr>
                <w:rStyle w:val="row-content-rich-text"/>
              </w:rPr>
              <w:t xml:space="preserve">In 2013, opioid drug(s) of dependence were reported for the first time. Up to 5 opioid drugs of dependence were able to be reported. Only Victoria and Western Australia reported more than 1 opioid drug of dependence. In 2014, only 1 opioid drug of dependence may be reported. Victoria still reports up to 5 drugs of dependence.</w:t>
            </w:r>
          </w:p>
          <w:p>
            <w:pPr>
              <w:spacing w:after="160"/>
            </w:pPr>
            <w:r>
              <w:rPr>
                <w:rStyle w:val="row-content-rich-text"/>
              </w:rPr>
              <w:t xml:space="preserve">In 2013, client status was reported for the first time. This information is not reported by New South Wales, South Australia, the Australian Capital Territory and the Northern Territory).</w:t>
            </w:r>
          </w:p>
          <w:p>
            <w:pPr>
              <w:spacing w:after="160"/>
            </w:pPr>
            <w:r>
              <w:rPr>
                <w:rStyle w:val="row-content-rich-text"/>
              </w:rPr>
              <w:t xml:space="preserve">From 2013, Victoria was unable to provide reliable age and sex data for individual pharmacotherapy drug types. Prior to this, an imputation strategy was used to produce this information.</w:t>
            </w:r>
          </w:p>
          <w:p>
            <w:pPr/>
            <w:r>
              <w:rPr>
                <w:rStyle w:val="row-content-rich-text"/>
              </w:rPr>
              <w:t xml:space="preserve">In 2014, the number of clients per prescriber and number of clients per dosing point were reported for the first time.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2015. National opioid pharmacotherapy statistics 2014. Bulletin no. 128. Cat. no. AUS 190.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277e73f7b3d43be">
              <w:r>
                <w:rPr>
                  <w:rStyle w:val="Hyperlink"/>
                </w:rPr>
                <w:t xml:space="preserve">National Opioid Pharmacotherapy Statistics Annual Data collection 2013; Quality Statement</w:t>
              </w:r>
            </w:hyperlink>
          </w:p>
          <w:p>
            <w:pPr>
              <w:spacing w:before="0" w:after="0"/>
            </w:pPr>
            <w:r>
              <w:rPr>
                <w:rStyle w:val="row-content"/>
                <w:color w:val="244061"/>
              </w:rPr>
              <w:t xml:space="preserve">       </w:t>
            </w:r>
            <w:hyperlink w:history="true" r:id="R90b6d053745e4296">
              <w:r>
                <w:rPr>
                  <w:rStyle w:val="Hyperlink"/>
                  <w:color w:val="244061"/>
                </w:rPr>
                <w:t xml:space="preserve">AIHW Data Quality Statements</w:t>
              </w:r>
            </w:hyperlink>
            <w:r>
              <w:rPr>
                <w:rStyle w:val="row-content"/>
                <w:color w:val="244061"/>
              </w:rPr>
              <w:t xml:space="preserve">, Superseded 12/05/2015</w:t>
            </w:r>
          </w:p>
          <w:p>
            <w:r>
              <w:br/>
            </w:r>
            <w:r>
              <w:rPr>
                <w:rStyle w:val="row-content"/>
              </w:rPr>
              <w:t xml:space="preserve">Has been superseded by </w:t>
            </w:r>
            <w:hyperlink w:history="true" r:id="Ra453d92de9224843">
              <w:r>
                <w:rPr>
                  <w:rStyle w:val="Hyperlink"/>
                </w:rPr>
                <w:t xml:space="preserve">National Opioid Pharmacotherapy Statistics Annual Data collection 2015; Quality Statement</w:t>
              </w:r>
            </w:hyperlink>
          </w:p>
          <w:p>
            <w:pPr>
              <w:spacing w:before="0" w:after="0"/>
            </w:pPr>
            <w:r>
              <w:rPr>
                <w:rStyle w:val="row-content"/>
                <w:color w:val="244061"/>
              </w:rPr>
              <w:t xml:space="preserve">       </w:t>
            </w:r>
            <w:hyperlink w:history="true" r:id="Reec38b5afe094e8a">
              <w:r>
                <w:rPr>
                  <w:rStyle w:val="Hyperlink"/>
                  <w:color w:val="244061"/>
                </w:rPr>
                <w:t xml:space="preserve">AIHW Data Quality Statements</w:t>
              </w:r>
            </w:hyperlink>
            <w:r>
              <w:rPr>
                <w:rStyle w:val="row-content"/>
                <w:color w:val="244061"/>
              </w:rPr>
              <w:t xml:space="preserve">, Superseded 29/03/2017</w:t>
            </w:r>
          </w:p>
          <w:p>
            <w:r>
              <w:br/>
            </w:r>
          </w:p>
        </w:tc>
      </w:tr>
    </w:tbl>
    <w:p>
      <w:r>
        <w:br/>
      </w:r>
    </w:p>
    <w:sectPr>
      <w:footerReference xmlns:r="http://schemas.openxmlformats.org/officeDocument/2006/relationships" w:type="default" r:id="Radd5f01a030a47a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600600</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9a8452ba765455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dd5f01a030a47ac" /><Relationship Type="http://schemas.openxmlformats.org/officeDocument/2006/relationships/header" Target="/word/header1.xml" Id="R5e44ff6977c944c5" /><Relationship Type="http://schemas.openxmlformats.org/officeDocument/2006/relationships/settings" Target="/word/settings.xml" Id="R61cd051f9de04f20" /><Relationship Type="http://schemas.openxmlformats.org/officeDocument/2006/relationships/styles" Target="/word/styles.xml" Id="Rd6ead23699164f3f" /><Relationship Type="http://schemas.openxmlformats.org/officeDocument/2006/relationships/hyperlink" Target="https://meteor.aihw.gov.au/RegistrationAuthority/5" TargetMode="External" Id="R608293321f504793" /><Relationship Type="http://schemas.openxmlformats.org/officeDocument/2006/relationships/numbering" Target="/word/numbering.xml" Id="Rf10f156b22274281" /><Relationship Type="http://schemas.openxmlformats.org/officeDocument/2006/relationships/hyperlink" Target="http://www.comlaw.gov.au/Details/C2014C00481" TargetMode="External" Id="R0414ee58307b4676" /><Relationship Type="http://schemas.openxmlformats.org/officeDocument/2006/relationships/hyperlink" Target="http://www.comlaw.gov.au/Details/C2014C00481" TargetMode="External" Id="Rfacd27f81230458c" /><Relationship Type="http://schemas.openxmlformats.org/officeDocument/2006/relationships/hyperlink" Target="http://www.comlaw.gov.au/Details/C2014C00757" TargetMode="External" Id="Re7e6fc084c144007" /><Relationship Type="http://schemas.openxmlformats.org/officeDocument/2006/relationships/hyperlink" Target="http://www.aihw.gov.au" TargetMode="External" Id="Rb5765fc4311e4d19" /><Relationship Type="http://schemas.openxmlformats.org/officeDocument/2006/relationships/hyperlink" Target="http://www.aihw.gov.au/alcohol-and-other-drugs-publications/" TargetMode="External" Id="Rcf0c676088ea427a" /><Relationship Type="http://schemas.openxmlformats.org/officeDocument/2006/relationships/hyperlink" Target="http://www.aihw.gov.au/custom-data-request-service/" TargetMode="External" Id="R97f09d7e9b7e4e8f" /><Relationship Type="http://schemas.openxmlformats.org/officeDocument/2006/relationships/hyperlink" Target="mailto:aod@aihw.gov.au" TargetMode="External" Id="Rff8373d264fb469a" /><Relationship Type="http://schemas.openxmlformats.org/officeDocument/2006/relationships/hyperlink" Target="https://meteor.aihw.gov.au/content/574019" TargetMode="External" Id="Rd277e73f7b3d43be" /><Relationship Type="http://schemas.openxmlformats.org/officeDocument/2006/relationships/hyperlink" Target="https://meteor.aihw.gov.au/RegistrationAuthority/5" TargetMode="External" Id="R90b6d053745e4296" /><Relationship Type="http://schemas.openxmlformats.org/officeDocument/2006/relationships/hyperlink" Target="https://meteor.aihw.gov.au/content/621223" TargetMode="External" Id="Ra453d92de9224843" /><Relationship Type="http://schemas.openxmlformats.org/officeDocument/2006/relationships/hyperlink" Target="https://meteor.aihw.gov.au/RegistrationAuthority/5" TargetMode="External" Id="Reec38b5afe094e8a" /></Relationships>
</file>

<file path=word/_rels/header1.xml.rels>&#65279;<?xml version="1.0" encoding="utf-8"?><Relationships xmlns="http://schemas.openxmlformats.org/package/2006/relationships"><Relationship Type="http://schemas.openxmlformats.org/officeDocument/2006/relationships/image" Target="/media/image.png" Id="R89a8452ba765455f" /></Relationships>
</file>