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f19c87fed04ee3"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prescription—type of drug prescribed, broad category code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prescription—type of drug prescribed, broad category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drug prescribed (broad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Drug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a42089369c49f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medicinal product prescribed in a claim for a benefit under the Pharmaceutical Benefits Scheme (PBS),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8a8220c2754433">
              <w:r>
                <w:rPr>
                  <w:rStyle w:val="Hyperlink"/>
                </w:rPr>
                <w:t xml:space="preserve">Pharmaceutical Benefits Scheme (PBS) prescription—type of drug prescribed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4a48379de5464d">
              <w:r>
                <w:rPr>
                  <w:rStyle w:val="Hyperlink"/>
                </w:rPr>
                <w:t xml:space="preserve">Pharmaceutical Benefits Scheme (PBS) prescription drug broad category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Highly Specialised Drugs (community access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Chemotherapy support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DT</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GH</w:t>
            </w:r>
          </w:p>
        </w:tc>
        <w:tc>
          <w:tcPr>
            <w:tcBorders>
              <w:top w:val="none" w:color="000000" w:sz="0"/>
              <w:left w:val="none" w:color="000000" w:sz="0"/>
              <w:bottom w:val="none" w:color="000000" w:sz="0"/>
              <w:right w:val="none" w:color="000000" w:sz="0"/>
            </w:tcBorders>
            <w:vAlign w:val="top"/>
          </w:tcPr>
          <w:p>
            <w:r>
              <w:t xml:space="preserve">Human growth hormone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HS</w:t>
            </w:r>
          </w:p>
        </w:tc>
        <w:tc>
          <w:tcPr>
            <w:tcBorders>
              <w:top w:val="none" w:color="000000" w:sz="0"/>
              <w:left w:val="none" w:color="000000" w:sz="0"/>
              <w:bottom w:val="none" w:color="000000" w:sz="0"/>
              <w:right w:val="none" w:color="000000" w:sz="0"/>
            </w:tcBorders>
            <w:vAlign w:val="top"/>
          </w:tcPr>
          <w:p>
            <w:r>
              <w:t xml:space="preserve">Highly Specialised Drugs (private hospital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HB</w:t>
            </w:r>
          </w:p>
        </w:tc>
        <w:tc>
          <w:tcPr>
            <w:tcBorders>
              <w:top w:val="none" w:color="000000" w:sz="0"/>
              <w:left w:val="none" w:color="000000" w:sz="0"/>
              <w:bottom w:val="none" w:color="000000" w:sz="0"/>
              <w:right w:val="none" w:color="000000" w:sz="0"/>
            </w:tcBorders>
            <w:vAlign w:val="top"/>
          </w:tcPr>
          <w:p>
            <w:r>
              <w:t xml:space="preserve">Highly Specialised Drugs (public hospital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IF</w:t>
            </w:r>
          </w:p>
        </w:tc>
        <w:tc>
          <w:tcPr>
            <w:tcBorders>
              <w:top w:val="none" w:color="000000" w:sz="0"/>
              <w:left w:val="none" w:color="000000" w:sz="0"/>
              <w:bottom w:val="none" w:color="000000" w:sz="0"/>
              <w:right w:val="none" w:color="000000" w:sz="0"/>
            </w:tcBorders>
            <w:vAlign w:val="top"/>
          </w:tcPr>
          <w:p>
            <w:r>
              <w:t xml:space="preserve">In-vitro fertilisation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Chemotherapy (private hospital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Chemotherapy (public hospital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p>
        </w:tc>
        <w:tc>
          <w:tcPr>
            <w:tcBorders>
              <w:top w:val="none" w:color="000000" w:sz="0"/>
              <w:left w:val="none" w:color="000000" w:sz="0"/>
              <w:bottom w:val="none" w:color="000000" w:sz="0"/>
              <w:right w:val="none" w:color="000000" w:sz="0"/>
            </w:tcBorders>
            <w:vAlign w:val="top"/>
          </w:tcPr>
          <w:p>
            <w:r>
              <w:t xml:space="preserve">Optometrical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PQ</w:t>
            </w:r>
          </w:p>
        </w:tc>
        <w:tc>
          <w:tcPr>
            <w:tcBorders>
              <w:top w:val="none" w:color="000000" w:sz="0"/>
              <w:left w:val="none" w:color="000000" w:sz="0"/>
              <w:bottom w:val="none" w:color="000000" w:sz="0"/>
              <w:right w:val="none" w:color="000000" w:sz="0"/>
            </w:tcBorders>
            <w:vAlign w:val="top"/>
          </w:tcPr>
          <w:p>
            <w:r>
              <w:t xml:space="preserve">Paraplegic and quadriplegic associations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w:t>
            </w:r>
          </w:p>
        </w:tc>
        <w:tc>
          <w:tcPr>
            <w:tcBorders>
              <w:top w:val="none" w:color="000000" w:sz="0"/>
              <w:left w:val="none" w:color="000000" w:sz="0"/>
              <w:bottom w:val="none" w:color="000000" w:sz="0"/>
              <w:right w:val="none" w:color="000000" w:sz="0"/>
            </w:tcBorders>
            <w:vAlign w:val="top"/>
          </w:tcPr>
          <w:p>
            <w:r>
              <w:t xml:space="preserve">Repatriation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Stoma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SY</w:t>
            </w:r>
          </w:p>
        </w:tc>
        <w:tc>
          <w:tcPr>
            <w:tcBorders>
              <w:top w:val="none" w:color="000000" w:sz="0"/>
              <w:left w:val="none" w:color="000000" w:sz="0"/>
              <w:bottom w:val="none" w:color="000000" w:sz="0"/>
              <w:right w:val="none" w:color="000000" w:sz="0"/>
            </w:tcBorders>
            <w:vAlign w:val="top"/>
          </w:tcPr>
          <w:p>
            <w:r>
              <w:t xml:space="preserve">Special authority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SZ</w:t>
            </w:r>
          </w:p>
        </w:tc>
        <w:tc>
          <w:tcPr>
            <w:tcBorders>
              <w:top w:val="none" w:color="000000" w:sz="0"/>
              <w:left w:val="none" w:color="000000" w:sz="0"/>
              <w:bottom w:val="none" w:color="000000" w:sz="0"/>
              <w:right w:val="none" w:color="000000" w:sz="0"/>
            </w:tcBorders>
            <w:vAlign w:val="top"/>
          </w:tcPr>
          <w:p>
            <w:r>
              <w:t xml:space="preserve">Special authority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TY</w:t>
            </w:r>
          </w:p>
        </w:tc>
        <w:tc>
          <w:tcPr>
            <w:tcBorders>
              <w:top w:val="none" w:color="000000" w:sz="0"/>
              <w:left w:val="none" w:color="000000" w:sz="0"/>
              <w:bottom w:val="none" w:color="000000" w:sz="0"/>
              <w:right w:val="none" w:color="000000" w:sz="0"/>
            </w:tcBorders>
            <w:vAlign w:val="top"/>
          </w:tcPr>
          <w:p>
            <w:r>
              <w:t xml:space="preserve">Herceptin (private hospital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TZ</w:t>
            </w:r>
            <w:r>
              <w:br/>
            </w:r>
            <w:r>
              <w:t xml:space="preserve"> </w:t>
            </w:r>
          </w:p>
        </w:tc>
        <w:tc>
          <w:tcPr>
            <w:tcBorders>
              <w:top w:val="none" w:color="000000" w:sz="0"/>
              <w:left w:val="none" w:color="000000" w:sz="0"/>
              <w:bottom w:val="none" w:color="000000" w:sz="0"/>
              <w:right w:val="none" w:color="000000" w:sz="0"/>
            </w:tcBorders>
            <w:vAlign w:val="top"/>
          </w:tcPr>
          <w:p>
            <w:r>
              <w:t xml:space="preserve">Herceptin (public hospital items)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CA   Highly Specialised Drugs (community access items)</w:t>
            </w:r>
          </w:p>
          <w:p>
            <w:pPr>
              <w:spacing w:after="160"/>
            </w:pPr>
            <w:r>
              <w:rPr>
                <w:rStyle w:val="row-content-rich-text"/>
              </w:rPr>
              <w:t xml:space="preserve">This code is use to describe medicinal products dispensed by community pharmacies under the </w:t>
            </w:r>
            <w:hyperlink w:tooltip="Highly Specialised Drugs (HSDs) are medicines for the treatment of chronic conditions which, prior to 1 July 2015, were restricted to supply through public and private hospitals having access to appropriate specialist facilities because of their clinic..." w:history="true" r:id="R3483c4967623446a">
              <w:r>
                <w:rPr>
                  <w:rStyle w:val="Hyperlink"/>
                  <w:b/>
                </w:rPr>
                <w:t xml:space="preserve">Highly Specialised Drugs</w:t>
              </w:r>
            </w:hyperlink>
            <w:r>
              <w:rPr>
                <w:rStyle w:val="row-content-rich-text"/>
              </w:rPr>
              <w:t xml:space="preserve"> Program.</w:t>
            </w:r>
          </w:p>
          <w:p>
            <w:pPr>
              <w:spacing w:after="160"/>
            </w:pPr>
            <w:r>
              <w:rPr>
                <w:rStyle w:val="row-content-rich-text"/>
              </w:rPr>
              <w:t xml:space="preserve">The community access component of the Highly Specialised Drugs Program came into effect from 1 July 2015.</w:t>
            </w:r>
          </w:p>
          <w:p>
            <w:pPr>
              <w:spacing w:after="160"/>
            </w:pPr>
            <w:r>
              <w:rPr>
                <w:rStyle w:val="row-content-rich-text"/>
              </w:rPr>
              <w:t xml:space="preserve">More information in relation to the Highly Specialised Drugs Program, including lists of the medicinal products included in the program, is available from the relevant pages on the Department of Health website (see the 'Reference documents' section below).</w:t>
            </w:r>
          </w:p>
          <w:p>
            <w:pPr>
              <w:spacing w:after="160"/>
            </w:pPr>
            <w:r>
              <w:rPr>
                <w:rStyle w:val="row-content-rich-text"/>
              </w:rPr>
              <w:t xml:space="preserve">CODE DB   Prescriber Bag</w:t>
            </w:r>
          </w:p>
          <w:p>
            <w:pPr>
              <w:spacing w:after="160"/>
            </w:pPr>
            <w:r>
              <w:rPr>
                <w:rStyle w:val="row-content-rich-text"/>
              </w:rPr>
              <w:t xml:space="preserve">This code denotes the medicinal products available via the Prescriber Bag provisions of the Pharmaceutical Benefits Scheme (PBS).</w:t>
            </w:r>
          </w:p>
          <w:p>
            <w:pPr>
              <w:spacing w:after="160"/>
            </w:pPr>
            <w:r>
              <w:rPr>
                <w:rStyle w:val="row-content-rich-text"/>
              </w:rPr>
              <w:t xml:space="preserve">Under the Prescriber Bag provisions, pharmaceutical benefits are provided without charge to prescribers who, in turn, can supply them free of charge to patients for emergency use.</w:t>
            </w:r>
          </w:p>
          <w:p>
            <w:pPr>
              <w:spacing w:after="160"/>
            </w:pPr>
            <w:r>
              <w:rPr>
                <w:rStyle w:val="row-content-rich-text"/>
              </w:rPr>
              <w:t xml:space="preserve">Also known as Doctor's Bag, particularly in the context of historical data records.</w:t>
            </w:r>
          </w:p>
          <w:p>
            <w:pPr>
              <w:spacing w:after="160"/>
            </w:pPr>
            <w:r>
              <w:rPr>
                <w:rStyle w:val="row-content-rich-text"/>
              </w:rPr>
              <w:t xml:space="preserve">CODE DT   Dental</w:t>
            </w:r>
          </w:p>
          <w:p>
            <w:pPr>
              <w:spacing w:after="160"/>
            </w:pPr>
            <w:r>
              <w:rPr>
                <w:rStyle w:val="row-content-rich-text"/>
              </w:rPr>
              <w:t xml:space="preserve">This code is used to identify the medicinal products that authorised dental practitioners are permitted to prescribe.</w:t>
            </w:r>
          </w:p>
          <w:p>
            <w:pPr>
              <w:spacing w:after="160"/>
            </w:pPr>
            <w:r>
              <w:rPr>
                <w:rStyle w:val="row-content-rich-text"/>
              </w:rPr>
              <w:t xml:space="preserve">CODE HS   Highly Specialised Drugs (private hospital items)</w:t>
            </w:r>
          </w:p>
          <w:p>
            <w:pPr>
              <w:spacing w:after="160"/>
            </w:pPr>
            <w:r>
              <w:rPr>
                <w:rStyle w:val="row-content-rich-text"/>
              </w:rPr>
              <w:t xml:space="preserve">CODE HB   Highly Specialised Drugs (public hospital items)</w:t>
            </w:r>
          </w:p>
          <w:p>
            <w:pPr>
              <w:spacing w:after="160"/>
            </w:pPr>
            <w:r>
              <w:rPr>
                <w:rStyle w:val="row-content-rich-text"/>
              </w:rPr>
              <w:t xml:space="preserve">Codes HS and HB are used to describe medicinal products dispensed in either private or public hospitals under the Highly Specialised Drugs Program.</w:t>
            </w:r>
          </w:p>
          <w:p>
            <w:pPr>
              <w:spacing w:after="160"/>
            </w:pPr>
            <w:r>
              <w:rPr>
                <w:rStyle w:val="row-content-rich-text"/>
              </w:rPr>
              <w:t xml:space="preserve">More information in relation to the Highly Specialised Drugs Program, including lists of the medicinal products included in the program, is available from the relevant pages on the Department of Health website (see the 'Reference documents' section below).</w:t>
            </w:r>
          </w:p>
          <w:p>
            <w:pPr>
              <w:spacing w:after="160"/>
            </w:pPr>
            <w:r>
              <w:rPr>
                <w:rStyle w:val="row-content-rich-text"/>
              </w:rPr>
              <w:t xml:space="preserve">CODE IN   Chemotherapy (private hospital items)</w:t>
            </w:r>
          </w:p>
          <w:p>
            <w:pPr>
              <w:spacing w:after="160"/>
            </w:pPr>
            <w:r>
              <w:rPr>
                <w:rStyle w:val="row-content-rich-text"/>
              </w:rPr>
              <w:t xml:space="preserve">CODE IP   Chemotherapy (public hospital items)</w:t>
            </w:r>
          </w:p>
          <w:p>
            <w:pPr>
              <w:spacing w:after="160"/>
            </w:pPr>
            <w:r>
              <w:rPr>
                <w:rStyle w:val="row-content-rich-text"/>
              </w:rPr>
              <w:t xml:space="preserve">Codes IN and IP are used to denote instances where chemotherapy drugs are dispensed in either private or public hospitals.</w:t>
            </w:r>
          </w:p>
          <w:p>
            <w:pPr>
              <w:spacing w:after="160"/>
            </w:pPr>
            <w:r>
              <w:rPr>
                <w:rStyle w:val="row-content-rich-text"/>
              </w:rPr>
              <w:t xml:space="preserve">CODE OT  Optometrical</w:t>
            </w:r>
          </w:p>
          <w:p>
            <w:pPr>
              <w:spacing w:after="160"/>
            </w:pPr>
            <w:r>
              <w:rPr>
                <w:rStyle w:val="row-content-rich-text"/>
              </w:rPr>
              <w:t xml:space="preserve">This code is used to identify the medicinal products that authorised optometrists are permitted to prescribe.</w:t>
            </w:r>
          </w:p>
          <w:p>
            <w:pPr>
              <w:spacing w:after="160"/>
            </w:pPr>
            <w:r>
              <w:rPr>
                <w:rStyle w:val="row-content-rich-text"/>
              </w:rPr>
              <w:t xml:space="preserve">CODE R1   Repatriation</w:t>
            </w:r>
          </w:p>
          <w:p>
            <w:pPr>
              <w:spacing w:after="160"/>
            </w:pPr>
            <w:r>
              <w:rPr>
                <w:rStyle w:val="row-content-rich-text"/>
              </w:rPr>
              <w:t xml:space="preserve">This code refers to medicinal products that are either:</w:t>
            </w:r>
          </w:p>
          <w:p>
            <w:pPr>
              <w:pStyle w:val="ListParagraph"/>
              <w:numPr>
                <w:ilvl w:val="0"/>
                <w:numId w:val="2"/>
              </w:numPr>
            </w:pPr>
            <w:r>
              <w:rPr>
                <w:rStyle w:val="row-content-rich-text"/>
              </w:rPr>
              <w:t xml:space="preserve">included in the Schedule of Repatriation Pharmaceutical Benefits but not the Schedule of Pharmaceutical Benefits, or</w:t>
            </w:r>
          </w:p>
          <w:p>
            <w:pPr>
              <w:pStyle w:val="ListParagraph"/>
              <w:numPr>
                <w:ilvl w:val="0"/>
                <w:numId w:val="2"/>
              </w:numPr>
            </w:pPr>
            <w:r>
              <w:rPr>
                <w:rStyle w:val="row-content-rich-text"/>
              </w:rPr>
              <w:t xml:space="preserve">included in both the Schedule of Repatriation Pharmaceutical Benefits and the Schedule of Pharmaceutical Benefits.</w:t>
            </w:r>
          </w:p>
          <w:p>
            <w:pPr>
              <w:spacing w:after="160"/>
            </w:pPr>
            <w:r>
              <w:rPr>
                <w:rStyle w:val="row-content-rich-text"/>
              </w:rPr>
              <w:t xml:space="preserve">Code R1 is used in cases where the prescription is written in accordance with the provisions and conditions of the Repatriation Pharmaceutical Benefits Scheme (RPBS) rather than the general PBS. Similarly, Code GE (see above) is used in cases where the prescription is written in accordance with the provisions and conditions of the general PBS rather than the RPBS.</w:t>
            </w:r>
          </w:p>
          <w:p>
            <w:pPr>
              <w:spacing w:after="160"/>
            </w:pPr>
            <w:r>
              <w:rPr>
                <w:rStyle w:val="row-content-rich-text"/>
              </w:rPr>
              <w:t xml:space="preserve">For some medicinal products, details such as the number of repeat supplies, the permitted maximum quantity to be supplied or eligibility criteria can differ between the two schemes. In the case of RPBS prescriptions, the eligibility criteria and supply details from the Schedule of Repatriation Pharmaceutical Benefits are applicable.</w:t>
            </w:r>
          </w:p>
          <w:p>
            <w:pPr>
              <w:spacing w:after="160"/>
            </w:pPr>
            <w:r>
              <w:rPr>
                <w:rStyle w:val="row-content-rich-text"/>
              </w:rPr>
              <w:t xml:space="preserve">CODE SY   Special authority program</w:t>
            </w:r>
          </w:p>
          <w:p>
            <w:pPr>
              <w:spacing w:after="160"/>
            </w:pPr>
            <w:r>
              <w:rPr>
                <w:rStyle w:val="row-content-rich-text"/>
              </w:rPr>
              <w:t xml:space="preserve">CODE SZ   Special authority program</w:t>
            </w:r>
          </w:p>
          <w:p>
            <w:pPr>
              <w:spacing w:after="160"/>
            </w:pPr>
            <w:r>
              <w:rPr>
                <w:rStyle w:val="row-content-rich-text"/>
              </w:rPr>
              <w:t xml:space="preserve">Codes SY and SZ are no longer used and should only be present in historical data, particularly data for periods prior to the commencement of the Herceptin® program on 1 October 2006. More recently, Codes SY and SZ have been replaced by Codes TY and TZ.</w:t>
            </w:r>
          </w:p>
          <w:p>
            <w:pPr>
              <w:spacing w:after="160"/>
            </w:pPr>
            <w:r>
              <w:rPr>
                <w:rStyle w:val="row-content-rich-text"/>
              </w:rPr>
              <w:t xml:space="preserve">CODE TY   Herceptin® (private hospital items)</w:t>
            </w:r>
          </w:p>
          <w:p>
            <w:pPr>
              <w:spacing w:after="160"/>
            </w:pPr>
            <w:r>
              <w:rPr>
                <w:rStyle w:val="row-content-rich-text"/>
              </w:rPr>
              <w:t xml:space="preserve">CODE TZ   Herceptin® (public hospital items)</w:t>
            </w:r>
          </w:p>
          <w:p>
            <w:pPr>
              <w:spacing w:after="160"/>
            </w:pPr>
            <w:r>
              <w:rPr>
                <w:rStyle w:val="row-content-rich-text"/>
              </w:rPr>
              <w:t xml:space="preserve">Codes TY and TZ are used to denote prescriptions dispensed under the Herceptin® program in either private or public hospitals. The program commenced on 1 October 2006, and allows for the listing of trastuzumab (Herceptin®) on the Pharmaceutical Benefits Scheme (PBS) for the treatment of patients with HER-2 positive early stage breast cancer.</w:t>
            </w:r>
          </w:p>
          <w:p>
            <w:pPr/>
            <w:r>
              <w:rPr>
                <w:rStyle w:val="row-content-rich-text"/>
              </w:rPr>
              <w:t xml:space="preserve">More information in relation to the Herceptin® Program is available from the relevant page on the Department of Health website (see the 'Reference documents' section below).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Section 100 - Highly Specialised Drugs Program. Viewed 10 November 2015,</w:t>
            </w:r>
            <w:r>
              <w:br/>
            </w:r>
            <w:hyperlink w:history="true" r:id="Rceecddf372fd45a4">
              <w:r>
                <w:rPr>
                  <w:rStyle w:val="Hyperlink"/>
                </w:rPr>
                <w:t xml:space="preserve">http://www.pbs.gov.au/info/browse/section-100/</w:t>
              </w:r>
              <w:r>
                <w:br/>
              </w:r>
              <w:r>
                <w:rPr>
                  <w:rStyle w:val="row-content-rich-text"/>
                </w:rPr>
                <w:t xml:space="preserve">s100-highly-specialised-drugs</w:t>
              </w:r>
            </w:hyperlink>
          </w:p>
          <w:p>
            <w:pPr>
              <w:spacing w:after="160"/>
            </w:pPr>
            <w:r>
              <w:rPr>
                <w:rStyle w:val="row-content-rich-text"/>
              </w:rPr>
              <w:t xml:space="preserve">Department of Health 2015. Section 100 item list - Highly Specialised Drugs Program (Community Access). Viewed 12 November 2015,</w:t>
            </w:r>
            <w:r>
              <w:br/>
            </w:r>
            <w:hyperlink w:history="true" r:id="R6f07f926a1e143c8">
              <w:r>
                <w:rPr>
                  <w:rStyle w:val="Hyperlink"/>
                </w:rPr>
                <w:t xml:space="preserve">http://www.pbs.gov.au/browse/section100-ca</w:t>
              </w:r>
            </w:hyperlink>
          </w:p>
          <w:p>
            <w:pPr>
              <w:spacing w:after="160"/>
            </w:pPr>
            <w:r>
              <w:rPr>
                <w:rStyle w:val="row-content-rich-text"/>
              </w:rPr>
              <w:t xml:space="preserve">Department of Health 2015. Section 100 item list - Highly Specialised Drugs Program (Public Hospital). Viewed 10 November 2015,</w:t>
            </w:r>
            <w:r>
              <w:br/>
            </w:r>
            <w:hyperlink w:history="true" r:id="R9fee20e41f124109">
              <w:r>
                <w:rPr>
                  <w:rStyle w:val="Hyperlink"/>
                </w:rPr>
                <w:t xml:space="preserve">http://www.pbs.gov.au/browse/section100-hb</w:t>
              </w:r>
            </w:hyperlink>
          </w:p>
          <w:p>
            <w:pPr>
              <w:spacing w:after="160"/>
            </w:pPr>
            <w:r>
              <w:rPr>
                <w:rStyle w:val="row-content-rich-text"/>
              </w:rPr>
              <w:t xml:space="preserve">Department of Health 2015. Section 100 item list - Highly Specialised Drugs Program (Private Hospital). Viewed 10 November 2015,</w:t>
            </w:r>
            <w:r>
              <w:br/>
            </w:r>
            <w:hyperlink w:history="true" r:id="R755e109712a94c02">
              <w:r>
                <w:rPr>
                  <w:rStyle w:val="Hyperlink"/>
                </w:rPr>
                <w:t xml:space="preserve">http://www.pbs.gov.au/browse/section100-hs</w:t>
              </w:r>
            </w:hyperlink>
          </w:p>
          <w:p>
            <w:pPr/>
            <w:r>
              <w:rPr>
                <w:rStyle w:val="row-content-rich-text"/>
              </w:rPr>
              <w:t xml:space="preserve">Department of Health 2006. Listing of Herceptin on the PBS. Department of Health, Canberra. Viewed 10 November 2015,</w:t>
            </w:r>
            <w:r>
              <w:br/>
            </w:r>
            <w:hyperlink w:history="true" r:id="Ra806467fe7cc4489">
              <w:r>
                <w:rPr>
                  <w:rStyle w:val="Hyperlink"/>
                </w:rPr>
                <w:t xml:space="preserve">http://www.pbs.gov.au/info/news/2006/</w:t>
              </w:r>
              <w:r>
                <w:br/>
              </w:r>
              <w:r>
                <w:rPr>
                  <w:rStyle w:val="row-content-rich-text"/>
                </w:rPr>
                <w:t xml:space="preserve">10/listing-of-herceptin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688494ae914d99">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ab25754e7cd04bf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DRG_TYP_CD</w:t>
            </w:r>
          </w:p>
          <w:p>
            <w:r>
              <w:br/>
            </w:r>
            <w:r>
              <w:br/>
            </w:r>
          </w:p>
        </w:tc>
      </w:tr>
    </w:tbl>
    <w:p/>
    <w:tbl>
      <w:tblPr>
        <w:tblStyle w:val="TableGrid"/>
        <w:tblW w:w="0" w:type="auto"/>
      </w:tblPr>
    </w:tbl>
    <w:p>
      <w:r>
        <w:br/>
      </w:r>
    </w:p>
    <w:sectPr>
      <w:footerReference xmlns:r="http://schemas.openxmlformats.org/officeDocument/2006/relationships" w:type="default" r:id="R578ddbbbc2b1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12a57fa9b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ddbbbc2b14919" /><Relationship Type="http://schemas.openxmlformats.org/officeDocument/2006/relationships/header" Target="/word/header1.xml" Id="R4262d092541a414d" /><Relationship Type="http://schemas.openxmlformats.org/officeDocument/2006/relationships/settings" Target="/word/settings.xml" Id="R0bc3aee37c7840c9" /><Relationship Type="http://schemas.openxmlformats.org/officeDocument/2006/relationships/styles" Target="/word/styles.xml" Id="Rb4c032d46c3a4d36" /><Relationship Type="http://schemas.openxmlformats.org/officeDocument/2006/relationships/hyperlink" Target="https://meteor.aihw.gov.au/RegistrationAuthority/10" TargetMode="External" Id="R75a42089369c49fa" /><Relationship Type="http://schemas.openxmlformats.org/officeDocument/2006/relationships/hyperlink" Target="https://meteor.aihw.gov.au/content/622349" TargetMode="External" Id="Re98a8220c2754433" /><Relationship Type="http://schemas.openxmlformats.org/officeDocument/2006/relationships/hyperlink" Target="https://meteor.aihw.gov.au/content/600295" TargetMode="External" Id="Rab4a48379de5464d" /><Relationship Type="http://schemas.openxmlformats.org/officeDocument/2006/relationships/hyperlink" Target="https://meteor.aihw.gov.au/content/623382" TargetMode="External" Id="R3483c4967623446a" /><Relationship Type="http://schemas.openxmlformats.org/officeDocument/2006/relationships/numbering" Target="/word/numbering.xml" Id="R406faa75f6704a49" /><Relationship Type="http://schemas.openxmlformats.org/officeDocument/2006/relationships/hyperlink" Target="http://www.pbs.gov.au/info/browse/section-100/s100-highly-specialised-drugs" TargetMode="External" Id="Rceecddf372fd45a4" /><Relationship Type="http://schemas.openxmlformats.org/officeDocument/2006/relationships/hyperlink" Target="http://www.pbs.gov.au/browse/section100-ca" TargetMode="External" Id="R6f07f926a1e143c8" /><Relationship Type="http://schemas.openxmlformats.org/officeDocument/2006/relationships/hyperlink" Target="http://www.pbs.gov.au/browse/section100-hb" TargetMode="External" Id="R9fee20e41f124109" /><Relationship Type="http://schemas.openxmlformats.org/officeDocument/2006/relationships/hyperlink" Target="http://www.pbs.gov.au/browse/section100-hs" TargetMode="External" Id="R755e109712a94c02" /><Relationship Type="http://schemas.openxmlformats.org/officeDocument/2006/relationships/hyperlink" Target="http://www.pbs.gov.au/info/news/2006/10/listing-of-herceptin" TargetMode="External" Id="Ra806467fe7cc4489" /><Relationship Type="http://schemas.openxmlformats.org/officeDocument/2006/relationships/hyperlink" Target="https://meteor.aihw.gov.au/content/602524" TargetMode="External" Id="R2d688494ae914d99" /><Relationship Type="http://schemas.openxmlformats.org/officeDocument/2006/relationships/hyperlink" Target="https://meteor.aihw.gov.au/RegistrationAuthority/10" TargetMode="External" Id="Rab25754e7cd04bf3" /></Relationships>
</file>

<file path=word/_rels/header1.xml.rels>&#65279;<?xml version="1.0" encoding="utf-8"?><Relationships xmlns="http://schemas.openxmlformats.org/package/2006/relationships"><Relationship Type="http://schemas.openxmlformats.org/officeDocument/2006/relationships/image" Target="/media/image.png" Id="Rffb12a57fa9b4ede" /></Relationships>
</file>