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3baa7c3714d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2016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d2f7095c64ae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rates have been calculated per 100,000 population for this indicator to assist with interpretation.</w:t>
            </w:r>
          </w:p>
          <w:p>
            <w:pPr>
              <w:spacing w:after="160"/>
            </w:pPr>
            <w:r>
              <w:rPr>
                <w:rStyle w:val="row-content-rich-text"/>
              </w:rPr>
              <w:t xml:space="preserve">• 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spacing w:after="160"/>
            </w:pPr>
            <w:r>
              <w:rPr>
                <w:rStyle w:val="row-content-rich-text"/>
              </w:rPr>
              <w:t xml:space="preserve">• 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spacing w:after="160"/>
            </w:pPr>
            <w:r>
              <w:rPr>
                <w:rStyle w:val="row-content-rich-text"/>
              </w:rPr>
              <w:t xml:space="preserve">• The 2014 allied health workforce indicator data exclude provisional registrants in professions where provisional registration is available (osteopaths, medical radiation practitioners, occupational therapists, pharmacists and psychologists).</w:t>
            </w:r>
          </w:p>
          <w:p>
            <w:pPr>
              <w:spacing w:after="160"/>
            </w:pPr>
            <w:r>
              <w:rPr>
                <w:rStyle w:val="row-content-rich-text"/>
              </w:rPr>
              <w:t xml:space="preserve">• The 2014 medical workforce indicator data exclude provisional registrants.</w:t>
            </w:r>
          </w:p>
          <w:p>
            <w:pPr/>
            <w:r>
              <w:rPr>
                <w:rStyle w:val="row-content-rich-text"/>
              </w:rPr>
              <w:t xml:space="preserve">• 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three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now performs this function.</w:t>
            </w:r>
          </w:p>
          <w:p>
            <w:pPr>
              <w:spacing w:after="160"/>
            </w:pPr>
            <w:r>
              <w:rPr>
                <w:rStyle w:val="row-content-rich-text"/>
              </w:rPr>
              <w:t xml:space="preserve">The AIHW receives registration and survey data from the AHPRA. The registration and workforce survey data are combined, cleansed and adjusted for non-response to form the NHWDS, and the findings reported by profession. AIHW is the data custodian of the NHWDS. These data are used for workforce planning, monitoring and reporting.</w:t>
            </w:r>
          </w:p>
          <w:p>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r>
              <w:br/>
            </w:r>
            <w:r>
              <w:rPr>
                <w:rStyle w:val="row-content-rich-text"/>
                <w:u w:val="single"/>
              </w:rPr>
              <w:t xml:space="preserve"> </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w:t>
            </w:r>
            <w:r>
              <w:rPr>
                <w:rStyle w:val="row-content-rich-text"/>
                <w:i/>
              </w:rPr>
              <w:t xml:space="preserve">Medical practitioners 2014</w:t>
            </w:r>
          </w:p>
          <w:p>
            <w:pPr>
              <w:spacing w:after="160"/>
            </w:pP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w:t>
            </w:r>
            <w:r>
              <w:rPr>
                <w:rStyle w:val="row-content-rich-text"/>
                <w:i/>
              </w:rPr>
              <w:t xml:space="preserve">Nurses and midwives 2014</w:t>
            </w:r>
          </w:p>
          <w:p>
            <w:pPr>
              <w:spacing w:after="160"/>
            </w:pP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w:t>
            </w:r>
            <w:r>
              <w:rPr>
                <w:rStyle w:val="row-content-rich-text"/>
                <w:i/>
              </w:rPr>
              <w:t xml:space="preserve">Allied health practitioners 2014</w:t>
            </w:r>
          </w:p>
          <w:p>
            <w:pPr>
              <w:spacing w:after="160"/>
            </w:pP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Practitioners with limited registration are due for renewal on the anniversary of their first registration and can thus renew and complete a survey at any time through the year.</w:t>
            </w:r>
          </w:p>
          <w:p>
            <w:pP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2014</w:t>
            </w:r>
          </w:p>
          <w:p>
            <w:pPr>
              <w:spacing w:after="160"/>
            </w:pPr>
            <w:r>
              <w:rPr>
                <w:rStyle w:val="row-content-rich-text"/>
              </w:rPr>
              <w:t xml:space="preserve">The NHWDS: medical practitioners 2014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2014.</w:t>
            </w:r>
          </w:p>
          <w:p>
            <w:pPr>
              <w:spacing w:after="160"/>
            </w:pPr>
            <w:r>
              <w:rPr>
                <w:rStyle w:val="row-content-rich-text"/>
                <w:u w:val="single"/>
              </w:rPr>
              <w:t xml:space="preserve">National Health Workforce Data Set: nurses and midwives 2014</w:t>
            </w:r>
          </w:p>
          <w:p>
            <w:pPr>
              <w:spacing w:after="160"/>
            </w:pPr>
            <w:r>
              <w:rPr>
                <w:rStyle w:val="row-content-rich-text"/>
              </w:rPr>
              <w:t xml:space="preserve">The NHWDS: nurses and midwives 2014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2014.</w:t>
            </w:r>
          </w:p>
          <w:p>
            <w:pPr>
              <w:spacing w:after="160"/>
            </w:pPr>
            <w:r>
              <w:rPr>
                <w:rStyle w:val="row-content-rich-text"/>
                <w:u w:val="single"/>
              </w:rPr>
              <w:t xml:space="preserve">National Health Workforce Data Set: allied health practitioners 2014</w:t>
            </w:r>
          </w:p>
          <w:p>
            <w:pPr>
              <w:spacing w:after="160"/>
            </w:pPr>
            <w:r>
              <w:rPr>
                <w:rStyle w:val="row-content-rich-text"/>
              </w:rPr>
              <w:t xml:space="preserve">The NHWDS: allied health practitioners 2014 contain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is part of the NHWDS: allied health practitioners 2014.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between 2013 and 2014. The same professions were included in both years. And, data for both years do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w:t>
            </w:r>
          </w:p>
          <w:p>
            <w:pPr>
              <w:spacing w:after="160"/>
            </w:pPr>
            <w:r>
              <w:rPr>
                <w:rStyle w:val="row-content-rich-text"/>
              </w:rPr>
              <w:t xml:space="preserve">• The data include employed professionals who did not state or adequately describe their state of principal practice and employed professionals who reside overseas. The national estimates include this group.</w:t>
            </w:r>
          </w:p>
          <w:p>
            <w:pPr>
              <w:spacing w:after="160"/>
            </w:pPr>
            <w:r>
              <w:rPr>
                <w:rStyle w:val="row-content-rich-text"/>
              </w:rPr>
              <w:t xml:space="preserve">• </w:t>
            </w:r>
            <w:r>
              <w:rPr>
                <w:rStyle w:val="row-content-rich-text"/>
                <w:i/>
              </w:rPr>
              <w:t xml:space="preserve">National Health Workforce Data Set: medical practitioners 2014</w:t>
            </w:r>
            <w:r>
              <w:rPr>
                <w:rStyle w:val="row-content-rich-text"/>
              </w:rPr>
              <w:t xml:space="preserve">: The overall response rate (excludes provisional registrants) of medical practitioners for 2014 was 91.8 per cent.</w:t>
            </w:r>
          </w:p>
          <w:p>
            <w:pPr>
              <w:spacing w:after="160"/>
            </w:pPr>
            <w:r>
              <w:rPr>
                <w:rStyle w:val="row-content-rich-text"/>
              </w:rPr>
              <w:t xml:space="preserve">• </w:t>
            </w:r>
            <w:r>
              <w:rPr>
                <w:rStyle w:val="row-content-rich-text"/>
                <w:i/>
              </w:rPr>
              <w:t xml:space="preserve">National Health Workforce Data Set: nurses and midwives 2014</w:t>
            </w:r>
            <w:r>
              <w:rPr>
                <w:rStyle w:val="row-content-rich-text"/>
              </w:rPr>
              <w:t xml:space="preserve">: The overall response rate of nurses and midwives for 2014 was 93.4 per cent.</w:t>
            </w:r>
          </w:p>
          <w:p>
            <w:pPr>
              <w:spacing w:after="160"/>
            </w:pPr>
            <w:r>
              <w:rPr>
                <w:rStyle w:val="row-content-rich-text"/>
              </w:rPr>
              <w:t xml:space="preserve">• </w:t>
            </w:r>
            <w:r>
              <w:rPr>
                <w:rStyle w:val="row-content-rich-text"/>
                <w:i/>
              </w:rPr>
              <w:t xml:space="preserve">National Health Workforce Data Set: allied health practitioners 2014</w:t>
            </w:r>
          </w:p>
          <w:p>
            <w:pPr>
              <w:spacing w:after="160"/>
              <w:jc w:val="left"/>
            </w:pPr>
            <w:r>
              <w:rPr>
                <w:rStyle w:val="row-content-rich-text"/>
              </w:rPr>
              <w:t xml:space="preserve">— For indicator data representing dental practitioners, represented by dentists, the response rate for 2014 was 92.2 per cent.</w:t>
            </w:r>
          </w:p>
          <w:p>
            <w:pPr>
              <w:jc w:val="left"/>
            </w:pPr>
            <w:r>
              <w:rPr>
                <w:rStyle w:val="row-content-rich-text"/>
              </w:rPr>
              <w:t xml:space="preserve">— For indicator data representing allied health practitioners (excluding dental practitioners) in 2014 was 92.9 per cent. 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spacing w:after="160"/>
            </w:pPr>
            <w:r>
              <w:rPr>
                <w:rStyle w:val="row-content-rich-text"/>
                <w:u w:val="single"/>
              </w:rPr>
              <w:t xml:space="preserve">AIHW Published Numbers</w:t>
            </w:r>
          </w:p>
          <w:p>
            <w:pPr/>
            <w:r>
              <w:rPr>
                <w:rStyle w:val="row-content-rich-text"/>
              </w:rPr>
              <w:t xml:space="preserve">For this indicator, the rates are based on practitioners employed in the medical, allied health and nursing and midwifery workforces, which is consistent with data published in AIHW's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f38ab41bdd449c">
              <w:r>
                <w:rPr>
                  <w:rStyle w:val="Hyperlink"/>
                </w:rPr>
                <w:t xml:space="preserve">National Healthcare Agreement: PI 33-Full time equivalent employed health practitioners per 1,000 population (by age group), 2015 QS</w:t>
              </w:r>
            </w:hyperlink>
          </w:p>
          <w:p>
            <w:pPr>
              <w:spacing w:before="0" w:after="0"/>
            </w:pPr>
            <w:r>
              <w:rPr>
                <w:rStyle w:val="row-content"/>
                <w:color w:val="244061"/>
              </w:rPr>
              <w:t xml:space="preserve">       </w:t>
            </w:r>
            <w:hyperlink w:history="true" r:id="Rc0f12d842c3c4392">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eec2ed1711c42e8">
              <w:r>
                <w:rPr>
                  <w:rStyle w:val="Hyperlink"/>
                </w:rPr>
                <w:t xml:space="preserve">National Healthcare Agreement: PI 33-Full time equivalent employed health practitioners per 1,000 population (by age group), 2017 QS</w:t>
              </w:r>
            </w:hyperlink>
          </w:p>
          <w:p>
            <w:pPr>
              <w:spacing w:before="0" w:after="0"/>
            </w:pPr>
            <w:r>
              <w:rPr>
                <w:rStyle w:val="row-content"/>
                <w:color w:val="244061"/>
              </w:rPr>
              <w:t xml:space="preserve">       </w:t>
            </w:r>
            <w:hyperlink w:history="true" r:id="R912bbf448ea4441e">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4dc0a0ceff4962">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95faf2de87444a6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c8682cc4d93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58cfa6099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682cc4d934b6f" /><Relationship Type="http://schemas.openxmlformats.org/officeDocument/2006/relationships/header" Target="/word/header1.xml" Id="R16c0a582e1254233" /><Relationship Type="http://schemas.openxmlformats.org/officeDocument/2006/relationships/settings" Target="/word/settings.xml" Id="R1056192c5b6c497e" /><Relationship Type="http://schemas.openxmlformats.org/officeDocument/2006/relationships/styles" Target="/word/styles.xml" Id="R894b06a5cc244acd" /><Relationship Type="http://schemas.openxmlformats.org/officeDocument/2006/relationships/hyperlink" Target="https://meteor.aihw.gov.au/RegistrationAuthority/12" TargetMode="External" Id="Rabed2f7095c64ae0" /><Relationship Type="http://schemas.openxmlformats.org/officeDocument/2006/relationships/hyperlink" Target="https://meteor.aihw.gov.au/content/559083" TargetMode="External" Id="Rfef38ab41bdd449c" /><Relationship Type="http://schemas.openxmlformats.org/officeDocument/2006/relationships/hyperlink" Target="https://meteor.aihw.gov.au/RegistrationAuthority/12" TargetMode="External" Id="Rc0f12d842c3c4392" /><Relationship Type="http://schemas.openxmlformats.org/officeDocument/2006/relationships/hyperlink" Target="https://meteor.aihw.gov.au/content/630529" TargetMode="External" Id="R7eec2ed1711c42e8" /><Relationship Type="http://schemas.openxmlformats.org/officeDocument/2006/relationships/hyperlink" Target="https://meteor.aihw.gov.au/RegistrationAuthority/12" TargetMode="External" Id="R912bbf448ea4441e" /><Relationship Type="http://schemas.openxmlformats.org/officeDocument/2006/relationships/hyperlink" Target="https://meteor.aihw.gov.au/content/598712" TargetMode="External" Id="Rd34dc0a0ceff4962" /><Relationship Type="http://schemas.openxmlformats.org/officeDocument/2006/relationships/hyperlink" Target="https://meteor.aihw.gov.au/RegistrationAuthority/12" TargetMode="External" Id="R95faf2de87444a6c" /></Relationships>
</file>

<file path=word/_rels/header1.xml.rels>&#65279;<?xml version="1.0" encoding="utf-8"?><Relationships xmlns="http://schemas.openxmlformats.org/package/2006/relationships"><Relationship Type="http://schemas.openxmlformats.org/officeDocument/2006/relationships/image" Target="/media/image.png" Id="R5a558cfa60994269" /></Relationships>
</file>