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648392ad8c4a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ef8d0d1c5432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e23cc351a1904f33">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2014–15 data used for this indicator became available from 13 November 2015.</w:t>
            </w:r>
          </w:p>
          <w:p>
            <w:pPr>
              <w:spacing w:after="160"/>
            </w:pPr>
            <w:r>
              <w:rPr>
                <w:rStyle w:val="row-content-rich-text"/>
              </w:rPr>
              <w:t xml:space="preserve">Referenced Period: July 2014 to June 2015.</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in Health Services: </w:t>
            </w:r>
            <w:r>
              <w:rPr>
                <w:rStyle w:val="row-content-rich-text"/>
                <w:i/>
              </w:rPr>
              <w:t xml:space="preserve">Patient Experiences in Australia, 2009</w:t>
            </w:r>
            <w:r>
              <w:rPr>
                <w:rStyle w:val="row-content-rich-text"/>
              </w:rPr>
              <w:t xml:space="preserve"> (Cat. no. 4839.0.55.001), </w:t>
            </w:r>
            <w:r>
              <w:rPr>
                <w:rStyle w:val="row-content-rich-text"/>
                <w:i/>
              </w:rPr>
              <w:t xml:space="preserve">Patient Experiences in Australia: Summary of Findings, 2010‑11, 2011‑12, 2012‑13, 2013‑14</w:t>
            </w:r>
            <w:r>
              <w:rPr>
                <w:rStyle w:val="row-content-rich-text"/>
              </w:rPr>
              <w:t xml:space="preserve"> and </w:t>
            </w:r>
            <w:r>
              <w:rPr>
                <w:rStyle w:val="row-content-rich-text"/>
                <w:i/>
              </w:rPr>
              <w:t xml:space="preserve">2014‑15</w:t>
            </w:r>
            <w:r>
              <w:rPr>
                <w:rStyle w:val="row-content-rich-text"/>
              </w:rPr>
              <w:t xml:space="preserve"> (Cat. no. 4839.0).</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 data were collected from a representative sample of the Australian population and questions were asked in context of the year prior to the survey. The data were collected over a twelve month period which should minimise any seasonality effects in the data.</w:t>
            </w:r>
          </w:p>
          <w:p>
            <w:pPr>
              <w:spacing w:after="160"/>
            </w:pPr>
            <w:r>
              <w:rPr>
                <w:rStyle w:val="row-content-rich-text"/>
              </w:rPr>
              <w:t xml:space="preserve">The 2014‑15 ABS Patient Experience data are published in Patient Experiences in Australia: Summary of Findings, 2014‑15 (Cat. no. 4839.0). The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Aboriginal and Torres Strait Islander communities were still excluded). Inclusion of very remote areas will serve to improve the coverage of the estimates, particularly for the NT. Small differences evident in the NT estimates between 2010‑11 and 2011‑12 may in part be due to the inclusion of households in very remote areas. The exclusion of persons usually residing in discrete Aboriginal and Torres Strait Islander communities has a small impact on estimates, except for the NT, where such persons make up more than 20 per cent of the population.</w:t>
            </w:r>
          </w:p>
          <w:p>
            <w:pPr/>
            <w:r>
              <w:rPr>
                <w:rStyle w:val="row-content-rich-text"/>
              </w:rPr>
              <w:t xml:space="preserve">Data were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'other' remoteness category are high with cross classified by State. Caution should be used when interpreting these data.</w:t>
            </w:r>
          </w:p>
          <w:p>
            <w:pPr>
              <w:spacing w:after="160"/>
            </w:pPr>
            <w:r>
              <w:rPr>
                <w:rStyle w:val="row-content-rich-text"/>
              </w:rPr>
              <w:t xml:space="preserve">The data for this indicator is attitudinal, as it collects whether people felt the health professional in question spent enough time with them, listened carefully and showed them respect.</w:t>
            </w:r>
          </w:p>
          <w:p>
            <w:pPr>
              <w:spacing w:after="160"/>
            </w:pPr>
            <w:r>
              <w:rPr>
                <w:rStyle w:val="row-content-rich-text"/>
              </w:rPr>
              <w:t xml:space="preserve">Data is used from personal intervies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w:t>
            </w:r>
          </w:p>
          <w:p>
            <w:pPr>
              <w:spacing w:after="160"/>
            </w:pPr>
            <w:r>
              <w:rPr>
                <w:rStyle w:val="row-content-rich-text"/>
              </w:rPr>
              <w:t xml:space="preserve">For the 2013–14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2012‑13 and 2013‑14.</w:t>
            </w:r>
          </w:p>
          <w:p>
            <w:pPr>
              <w:spacing w:after="160"/>
            </w:pPr>
            <w:r>
              <w:rPr>
                <w:rStyle w:val="row-content-rich-text"/>
              </w:rPr>
              <w:t xml:space="preserve">Consistency over time: Data are comparable over time.</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2011‑12 and subsequent surveys, and of very remote communities and discrete Indigenous communities in previous surveys, will affect the NT more than it affects other jurisdictions (people usually resident in such areas/communities account for more than 20 per cent of people in the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09f470318f4247">
              <w:r>
                <w:rPr>
                  <w:rStyle w:val="Hyperlink"/>
                </w:rPr>
                <w:t xml:space="preserve">National Healthcare Agreement: PI 32-Patient satisfaction/experience, 2015 QS</w:t>
              </w:r>
            </w:hyperlink>
          </w:p>
          <w:p>
            <w:pPr>
              <w:spacing w:before="0" w:after="0"/>
            </w:pPr>
            <w:r>
              <w:rPr>
                <w:rStyle w:val="row-content"/>
                <w:color w:val="244061"/>
              </w:rPr>
              <w:t xml:space="preserve">       </w:t>
            </w:r>
            <w:hyperlink w:history="true" r:id="R39549d46cef14b7b">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7b52498572048e1">
              <w:r>
                <w:rPr>
                  <w:rStyle w:val="Hyperlink"/>
                </w:rPr>
                <w:t xml:space="preserve">National Healthcare Agreement: PI 32-Patient satisfaction/experience, 2017 QS</w:t>
              </w:r>
            </w:hyperlink>
          </w:p>
          <w:p>
            <w:pPr>
              <w:spacing w:before="0" w:after="0"/>
            </w:pPr>
            <w:r>
              <w:rPr>
                <w:rStyle w:val="row-content"/>
                <w:color w:val="244061"/>
              </w:rPr>
              <w:t xml:space="preserve">       </w:t>
            </w:r>
            <w:hyperlink w:history="true" r:id="R76cd9ea53a614a1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170a6d01de84244">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cca736c46076474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f90cd8c7df2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600122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0329e54a8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0cd8c7df24d23" /><Relationship Type="http://schemas.openxmlformats.org/officeDocument/2006/relationships/header" Target="/word/header1.xml" Id="R7b15831fcde74b7f" /><Relationship Type="http://schemas.openxmlformats.org/officeDocument/2006/relationships/settings" Target="/word/settings.xml" Id="Rd9dfe92992c742de" /><Relationship Type="http://schemas.openxmlformats.org/officeDocument/2006/relationships/styles" Target="/word/styles.xml" Id="R3518eb478b994780" /><Relationship Type="http://schemas.openxmlformats.org/officeDocument/2006/relationships/hyperlink" Target="https://meteor.aihw.gov.au/RegistrationAuthority/12" TargetMode="External" Id="Rd17ef8d0d1c5432d" /><Relationship Type="http://schemas.openxmlformats.org/officeDocument/2006/relationships/hyperlink" Target="http://www.abs.gov.au" TargetMode="External" Id="Re23cc351a1904f33" /><Relationship Type="http://schemas.openxmlformats.org/officeDocument/2006/relationships/numbering" Target="/word/numbering.xml" Id="R95a211b61a384c01" /><Relationship Type="http://schemas.openxmlformats.org/officeDocument/2006/relationships/hyperlink" Target="https://meteor.aihw.gov.au/content/559086" TargetMode="External" Id="R6c09f470318f4247" /><Relationship Type="http://schemas.openxmlformats.org/officeDocument/2006/relationships/hyperlink" Target="https://meteor.aihw.gov.au/RegistrationAuthority/12" TargetMode="External" Id="R39549d46cef14b7b" /><Relationship Type="http://schemas.openxmlformats.org/officeDocument/2006/relationships/hyperlink" Target="https://meteor.aihw.gov.au/content/630526" TargetMode="External" Id="Ra7b52498572048e1" /><Relationship Type="http://schemas.openxmlformats.org/officeDocument/2006/relationships/hyperlink" Target="https://meteor.aihw.gov.au/RegistrationAuthority/12" TargetMode="External" Id="R76cd9ea53a614a1c" /><Relationship Type="http://schemas.openxmlformats.org/officeDocument/2006/relationships/hyperlink" Target="https://meteor.aihw.gov.au/content/598714" TargetMode="External" Id="R0170a6d01de84244" /><Relationship Type="http://schemas.openxmlformats.org/officeDocument/2006/relationships/hyperlink" Target="https://meteor.aihw.gov.au/RegistrationAuthority/12" TargetMode="External" Id="Rcca736c46076474b" /></Relationships>
</file>

<file path=word/_rels/header1.xml.rels>&#65279;<?xml version="1.0" encoding="utf-8"?><Relationships xmlns="http://schemas.openxmlformats.org/package/2006/relationships"><Relationship Type="http://schemas.openxmlformats.org/officeDocument/2006/relationships/image" Target="/media/image.png" Id="Rdda0329e54a8457a" /></Relationships>
</file>