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98acae012f460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8be4127d46424b">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are restricted to re-accreditations and review audits within the previous financial year</w:t>
            </w:r>
            <w:r>
              <w:br/>
            </w:r>
          </w:p>
          <w:p>
            <w:pPr>
              <w:pStyle w:val="ListParagraph"/>
              <w:numPr>
                <w:ilvl w:val="0"/>
                <w:numId w:val="2"/>
              </w:numPr>
            </w:pPr>
            <w:r>
              <w:rPr>
                <w:rStyle w:val="row-content-rich-text"/>
              </w:rPr>
              <w:t xml:space="preserve">Remoteness data for 2011–12 are not directly comparable to remoteness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The tables for this indicator were prepared by the Australian Aged Care Quality Agency and quality-assessed by the Australian Institute of Health and Welfare (AIHW). The data quality statement was developed by the Department of Social Services (DSS) and includes comments from the AIHW. The AIHW did not have the relevant datasets required to independently verify the data tables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restricted to re-accreditations within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Australian Aged Care Quality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 and exclude those homes that are reviewed during a financial year for possible systemic failures.</w:t>
            </w:r>
          </w:p>
          <w:p>
            <w:pPr>
              <w:spacing w:after="160"/>
            </w:pPr>
            <w:r>
              <w:rPr>
                <w:rStyle w:val="row-content-rich-text"/>
              </w:rPr>
              <w:t xml:space="preserve">Terms used in the dataset may be ambiguous because a user may not understand that the data has limitations as a proxy measure of the industry’s performance.</w:t>
            </w:r>
          </w:p>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and those where a review audit was undertaken. Each year there are more assessment contacts (including unannounced visits) than there are audits. Review audits occur where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 in-time’ assessment of performance and as accreditation generally follows a three-yearly cycle. The audit data can sometimes be up to three years old.</w:t>
            </w:r>
          </w:p>
          <w:p>
            <w:pPr>
              <w:spacing w:after="160"/>
            </w:pPr>
            <w:r>
              <w:rPr>
                <w:rStyle w:val="row-content-rich-text"/>
              </w:rPr>
              <w:t xml:space="preserve">A pilot program has commenced whereby residential aged care homes in the pilot program are eligible for five year re-accreditation.  During the period 2014–15 there were 47 homes that received five year re-accreditation.  These homes are included in this indicator with homes that achieved three year re-accreditation.</w:t>
            </w:r>
          </w:p>
          <w:p>
            <w:pPr>
              <w:spacing w:after="160"/>
            </w:pPr>
            <w:r>
              <w:rPr>
                <w:rStyle w:val="row-content-rich-text"/>
              </w:rPr>
              <w:t xml:space="preserve">A limitation in the data is that they are only for re-accreditation decisions made during the financial year.</w:t>
            </w:r>
          </w:p>
          <w:p>
            <w:pPr/>
            <w:r>
              <w:rPr>
                <w:rStyle w:val="row-content-rich-text"/>
              </w:rPr>
              <w:t xml:space="preserve">In 2014–15 there were 2,682 accredited residential aged care homes but only 1,237 re-accreditation decisions were made. In the previous year 496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spacing w:after="160"/>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‘Re-accreditation’ is not a decision available following a review audit under the Quality Agency Principles 2013.  The possible decisions available following a review audit of this kind are:</w:t>
            </w:r>
          </w:p>
          <w:p>
            <w:pPr>
              <w:spacing w:after="160"/>
            </w:pPr>
            <w:r>
              <w:rPr>
                <w:rStyle w:val="row-content-rich-text"/>
              </w:rPr>
              <w:t xml:space="preserve">• to revoke the service’s accreditation,</w:t>
            </w:r>
            <w:r>
              <w:br/>
            </w:r>
            <w:r>
              <w:rPr>
                <w:rStyle w:val="row-content-rich-text"/>
              </w:rPr>
              <w:t xml:space="preserve">• not revoke and not vary the period of accreditation, or</w:t>
            </w:r>
            <w:r>
              <w:br/>
            </w:r>
            <w:r>
              <w:rPr>
                <w:rStyle w:val="row-content-rich-text"/>
              </w:rPr>
              <w:t xml:space="preserve">• not revoke and to vary the period of accreditation.</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2011–12 (reported in the previous cycle) were reported for RA 2006.  Data for 2012–13 and subsequent cycles are reported for RA 2011.  The AIHW considers the change from RA 2006 to RA 2011 to be a series break when applied to data supplied for this indicator, therefore remoteness data for 2011–12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bc762182304190">
              <w:r>
                <w:rPr>
                  <w:rStyle w:val="Hyperlink"/>
                </w:rPr>
                <w:t xml:space="preserve">National Healthcare Agreement: PI 28-Proportion of residential aged care services that are three year re-accredited, 2015 QS</w:t>
              </w:r>
            </w:hyperlink>
          </w:p>
          <w:p>
            <w:pPr>
              <w:spacing w:before="0" w:after="0"/>
            </w:pPr>
            <w:r>
              <w:rPr>
                <w:rStyle w:val="row-content"/>
                <w:color w:val="244061"/>
              </w:rPr>
              <w:t xml:space="preserve">       </w:t>
            </w:r>
            <w:hyperlink w:history="true" r:id="Rf156c4902b784655">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111ca1a6a6b6439d">
              <w:r>
                <w:rPr>
                  <w:rStyle w:val="Hyperlink"/>
                </w:rPr>
                <w:t xml:space="preserve">National Healthcare Agreement: PI 28-Proportion of residential aged care services that are three year re-accredited, 2017 QS</w:t>
              </w:r>
            </w:hyperlink>
          </w:p>
          <w:p>
            <w:pPr>
              <w:spacing w:before="0" w:after="0"/>
            </w:pPr>
            <w:r>
              <w:rPr>
                <w:rStyle w:val="row-content"/>
                <w:color w:val="244061"/>
              </w:rPr>
              <w:t xml:space="preserve">       </w:t>
            </w:r>
            <w:hyperlink w:history="true" r:id="R3956ddf51c07450b">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f7e6a4fea294406">
              <w:r>
                <w:rPr>
                  <w:rStyle w:val="Hyperlink"/>
                </w:rPr>
                <w:t xml:space="preserve">National Healthcare Agreement: PI 28–Proportion of residential aged care services that are three year re-accredited, 2016</w:t>
              </w:r>
            </w:hyperlink>
          </w:p>
          <w:p>
            <w:pPr>
              <w:spacing w:before="0" w:after="0"/>
            </w:pPr>
            <w:r>
              <w:rPr>
                <w:rStyle w:val="row-content"/>
                <w:color w:val="244061"/>
              </w:rPr>
              <w:t xml:space="preserve">       </w:t>
            </w:r>
            <w:hyperlink w:history="true" r:id="R630f4e627c9e4f14">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ec1a22433ba24a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e65c3772d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a22433ba24a01" /><Relationship Type="http://schemas.openxmlformats.org/officeDocument/2006/relationships/header" Target="/word/header1.xml" Id="R8259cf7c97fd4aa7" /><Relationship Type="http://schemas.openxmlformats.org/officeDocument/2006/relationships/settings" Target="/word/settings.xml" Id="Rcdd804726e054800" /><Relationship Type="http://schemas.openxmlformats.org/officeDocument/2006/relationships/styles" Target="/word/styles.xml" Id="R04b513eeb4aa41f0" /><Relationship Type="http://schemas.openxmlformats.org/officeDocument/2006/relationships/hyperlink" Target="https://meteor.aihw.gov.au/RegistrationAuthority/12" TargetMode="External" Id="R458be4127d46424b" /><Relationship Type="http://schemas.openxmlformats.org/officeDocument/2006/relationships/numbering" Target="/word/numbering.xml" Id="Ra88a733892ee4ad2" /><Relationship Type="http://schemas.openxmlformats.org/officeDocument/2006/relationships/hyperlink" Target="https://meteor.aihw.gov.au/content/559090" TargetMode="External" Id="Re6bc762182304190" /><Relationship Type="http://schemas.openxmlformats.org/officeDocument/2006/relationships/hyperlink" Target="https://meteor.aihw.gov.au/RegistrationAuthority/12" TargetMode="External" Id="Rf156c4902b784655" /><Relationship Type="http://schemas.openxmlformats.org/officeDocument/2006/relationships/hyperlink" Target="https://meteor.aihw.gov.au/content/630520" TargetMode="External" Id="R111ca1a6a6b6439d" /><Relationship Type="http://schemas.openxmlformats.org/officeDocument/2006/relationships/hyperlink" Target="https://meteor.aihw.gov.au/RegistrationAuthority/12" TargetMode="External" Id="R3956ddf51c07450b" /><Relationship Type="http://schemas.openxmlformats.org/officeDocument/2006/relationships/hyperlink" Target="https://meteor.aihw.gov.au/content/598722" TargetMode="External" Id="Rbf7e6a4fea294406" /><Relationship Type="http://schemas.openxmlformats.org/officeDocument/2006/relationships/hyperlink" Target="https://meteor.aihw.gov.au/RegistrationAuthority/12" TargetMode="External" Id="R630f4e627c9e4f14" /></Relationships>
</file>

<file path=word/_rels/header1.xml.rels>&#65279;<?xml version="1.0" encoding="utf-8"?><Relationships xmlns="http://schemas.openxmlformats.org/package/2006/relationships"><Relationship Type="http://schemas.openxmlformats.org/officeDocument/2006/relationships/image" Target="/media/image.png" Id="Rd6de65c3772d4a74" /></Relationships>
</file>