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474bd6484248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dcfe97f4b44f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New South Wales data for 2010–11, 2011–12, 2012–13, 2013–14 and 2014–15 are not comparable with other jurisdictions. </w:t>
            </w:r>
          </w:p>
          <w:p>
            <w:pPr>
              <w:pStyle w:val="ListParagraph"/>
              <w:numPr>
                <w:ilvl w:val="0"/>
                <w:numId w:val="2"/>
              </w:numPr>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 with revised data provided for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Healthcare associated infections reporting </w:t>
            </w:r>
            <w:r>
              <w:rPr>
                <w:rStyle w:val="row-content-rich-text"/>
              </w:rPr>
              <w:t xml:space="preserve">for 8 infection indicators by state.</w:t>
            </w:r>
          </w:p>
          <w:p>
            <w:hyperlink w:history="true" r:id="Ra29c1a3aee3b47b8">
              <w:r>
                <w:rPr>
                  <w:rStyle w:val="Hyperlink"/>
                </w:rPr>
                <w:t xml:space="preserve">http://www.health.nsw.gov.au/professionals/hai/Documents/</w:t>
              </w:r>
              <w:r>
                <w:br/>
              </w:r>
              <w:r>
                <w:rPr>
                  <w:rStyle w:val="row-content-rich-text"/>
                </w:rPr>
                <w:t xml:space="preserve">HAI-data-collection-report-2014.pdf</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p>
          <w:p>
            <w:hyperlink w:history="true" r:id="R38ad7ba33bb84c72">
              <w:r>
                <w:rPr>
                  <w:rStyle w:val="Hyperlink"/>
                </w:rPr>
                <w:t xml:space="preserve">http://www.public.health.wa.gov.au/3/455/3/</w:t>
              </w:r>
              <w:r>
                <w:br/>
              </w:r>
              <w:r>
                <w:rPr>
                  <w:rStyle w:val="row-content-rich-text"/>
                </w:rPr>
                <w:t xml:space="preserve">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p>
          <w:p>
            <w:hyperlink w:history="true" r:id="Rd40e6fd98f744f7d">
              <w:r>
                <w:rPr>
                  <w:rStyle w:val="Hyperlink"/>
                </w:rPr>
                <w:t xml:space="preserve">http://www.sahealth.sa.gov.au/wps/wcm/connect/public+content/</w:t>
              </w:r>
              <w:r>
                <w:br/>
              </w:r>
              <w:r>
                <w:rPr>
                  <w:rStyle w:val="row-content-rich-text"/>
                </w:rPr>
                <w:t xml:space="preserve">sa+health+internet/about+us/health+statistics/</w:t>
              </w:r>
              <w:r>
                <w:br/>
              </w:r>
              <w:r>
                <w:rPr>
                  <w:rStyle w:val="row-content-rich-text"/>
                </w:rPr>
                <w:t xml:space="preserve">healthcare+infection+statistics</w:t>
              </w:r>
            </w:hyperlink>
          </w:p>
          <w:p>
            <w:pPr>
              <w:spacing w:after="160"/>
            </w:pPr>
            <w:r>
              <w:rPr>
                <w:rStyle w:val="row-content-rich-text"/>
              </w:rPr>
              <w:t xml:space="preserve">Tasmania: Acute public hospitals healthcare associated infection surveillance report.</w:t>
            </w:r>
          </w:p>
          <w:p>
            <w:hyperlink w:history="true" r:id="Rf12646ea376943c5">
              <w:r>
                <w:rPr>
                  <w:rStyle w:val="Hyperlink"/>
                </w:rPr>
                <w:t xml:space="preserve">http://www.dhhs.tas.gov.au/peh/</w:t>
              </w:r>
              <w:r>
                <w:br/>
              </w:r>
              <w:r>
                <w:rPr>
                  <w:rStyle w:val="row-content-rich-text"/>
                </w:rPr>
                <w:t xml:space="preserve">tasmanian_infection_prevention_and_control_unit/</w:t>
              </w:r>
              <w:r>
                <w:br/>
              </w:r>
              <w:r>
                <w:rPr>
                  <w:rStyle w:val="row-content-rich-text"/>
                </w:rPr>
                <w:t xml:space="preserve">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Some states and territories have provided revised data for 2013–14, thus a revised table for 2013–14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It is not possible to backcast the data for earlier years. Data for 2014–15, 2013–14,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Data for 2011–12, 2012–13, 2013–14 and 2014–15 are comparable.</w:t>
            </w:r>
          </w:p>
          <w:p>
            <w:pPr>
              <w:spacing w:after="160"/>
            </w:pPr>
            <w:r>
              <w:rPr>
                <w:rStyle w:val="row-content-rich-text"/>
              </w:rPr>
              <w:t xml:space="preserve">New South Wales data for 2010–11, 2011–12, 2012–13, 2013–14 and 2014–15 are not comparable with data from other jurisdictions because New South Wales uses occupied bed days, rather than patient days, for calculation of the denominator.</w:t>
            </w:r>
          </w:p>
          <w:p>
            <w:pPr>
              <w:spacing w:after="160"/>
            </w:pPr>
            <w:r>
              <w:rPr>
                <w:rStyle w:val="row-content-rich-text"/>
              </w:rPr>
              <w:t xml:space="preserve">New South Wales data are included in Australian totals for 2010–11, 2011–12, 2012–13, 2013–14 and 2014–15 because it is expected that at the national level the use of occupied bed days, rather than patient days, for NSW is unlikely to create a marked difference in the Australian data.</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d6fe4cdbcf429a">
              <w:r>
                <w:rPr>
                  <w:rStyle w:val="Hyperlink"/>
                </w:rPr>
                <w:t xml:space="preserve">National Healthcare Agreement: PI 22-Healthcare associated infections, 2015 QS</w:t>
              </w:r>
            </w:hyperlink>
          </w:p>
          <w:p>
            <w:pPr>
              <w:pStyle w:val="registration-status"/>
              <w:spacing w:before="0" w:after="0"/>
            </w:pPr>
            <w:hyperlink w:history="true" r:id="R8680fa27f08e442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a7b8bf2b85c4f45">
              <w:r>
                <w:rPr>
                  <w:rStyle w:val="Hyperlink"/>
                </w:rPr>
                <w:t xml:space="preserve">National Healthcare Agreement: PI 22-Healthcare associated infections; Staphylococcus aureus bacteraemia, 2017 QS</w:t>
              </w:r>
            </w:hyperlink>
          </w:p>
          <w:p>
            <w:pPr>
              <w:pStyle w:val="registration-status"/>
              <w:spacing w:before="0" w:after="0"/>
            </w:pPr>
            <w:hyperlink w:history="true" r:id="Ra1e675b6418c49f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79eb78de7884312">
              <w:r>
                <w:rPr>
                  <w:rStyle w:val="Hyperlink"/>
                </w:rPr>
                <w:t xml:space="preserve">National Healthcare Agreement: PI 22–Healthcare associated infections: Staphylococcus aureus bacteraemia, 2016</w:t>
              </w:r>
            </w:hyperlink>
          </w:p>
          <w:p>
            <w:pPr>
              <w:pStyle w:val="registration-status"/>
              <w:spacing w:before="0" w:after="0"/>
            </w:pPr>
            <w:hyperlink w:history="true" r:id="Radc8c4bfaeee463d">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44912bb80165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88dc6f55f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12bb801654895" /><Relationship Type="http://schemas.openxmlformats.org/officeDocument/2006/relationships/header" Target="/word/header1.xml" Id="R61798a34730c4bbe" /><Relationship Type="http://schemas.openxmlformats.org/officeDocument/2006/relationships/settings" Target="/word/settings.xml" Id="R1e10daa3539f4bed" /><Relationship Type="http://schemas.openxmlformats.org/officeDocument/2006/relationships/styles" Target="/word/styles.xml" Id="Rc7a623f809864409" /><Relationship Type="http://schemas.openxmlformats.org/officeDocument/2006/relationships/numbering" Target="/word/numbering.xml" Id="Rc964007169b64fd8" /><Relationship Type="http://schemas.openxmlformats.org/officeDocument/2006/relationships/hyperlink" Target="https://meteor.aihw.gov.au/RegistrationAuthority/12" TargetMode="External" Id="Ra4ddcfe97f4b44f1" /><Relationship Type="http://schemas.openxmlformats.org/officeDocument/2006/relationships/hyperlink" Target="http://www.health.nsw.gov.au/professionals/hai/Documents/HAI-data-collection-report-2014.pdf" TargetMode="External" Id="Ra29c1a3aee3b47b8" /><Relationship Type="http://schemas.openxmlformats.org/officeDocument/2006/relationships/hyperlink" Target="http://www.public.health.wa.gov.au/3/455/3/reports__healthcare_associated_infection_unit.pm" TargetMode="External" Id="R38ad7ba33bb84c72" /><Relationship Type="http://schemas.openxmlformats.org/officeDocument/2006/relationships/hyperlink" Target="http://www.sahealth.sa.gov.au/wps/wcm/connect/public+content/sa+health+internet/about+us/health+statistics/healthcare+infection+statistics" TargetMode="External" Id="Rd40e6fd98f744f7d" /><Relationship Type="http://schemas.openxmlformats.org/officeDocument/2006/relationships/hyperlink" Target="http://www.dhhs.tas.gov.au/peh/tasmanian_infection_prevention_and_control_unit/publications_and_guidelines" TargetMode="External" Id="Rf12646ea376943c5" /><Relationship Type="http://schemas.openxmlformats.org/officeDocument/2006/relationships/hyperlink" Target="https://meteor.aihw.gov.au/content/559101" TargetMode="External" Id="R15d6fe4cdbcf429a" /><Relationship Type="http://schemas.openxmlformats.org/officeDocument/2006/relationships/hyperlink" Target="https://meteor.aihw.gov.au/RegistrationAuthority/12" TargetMode="External" Id="R8680fa27f08e4420" /><Relationship Type="http://schemas.openxmlformats.org/officeDocument/2006/relationships/hyperlink" Target="https://meteor.aihw.gov.au/content/630457" TargetMode="External" Id="R2a7b8bf2b85c4f45" /><Relationship Type="http://schemas.openxmlformats.org/officeDocument/2006/relationships/hyperlink" Target="https://meteor.aihw.gov.au/RegistrationAuthority/12" TargetMode="External" Id="Ra1e675b6418c49f0" /><Relationship Type="http://schemas.openxmlformats.org/officeDocument/2006/relationships/hyperlink" Target="https://meteor.aihw.gov.au/content/598734" TargetMode="External" Id="Rb79eb78de7884312" /><Relationship Type="http://schemas.openxmlformats.org/officeDocument/2006/relationships/hyperlink" Target="https://meteor.aihw.gov.au/RegistrationAuthority/12" TargetMode="External" Id="Radc8c4bfaeee463d" /></Relationships>
</file>

<file path=word/_rels/header1.xml.rels>&#65279;<?xml version="1.0" encoding="utf-8"?><Relationships xmlns="http://schemas.openxmlformats.org/package/2006/relationships"><Relationship Type="http://schemas.openxmlformats.org/officeDocument/2006/relationships/image" Target="/media/image.png" Id="Rfbb88dc6f55f40db" /></Relationships>
</file>