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5a6998f5634a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0327cf6de498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2013–14, coverage of the NESWTDC was about 93 per cent of elective surgery in Australian public hospitals. For 2014–15, the preliminary estimate of the proportion of public elective surgery that was also reported to the NESWTDC is 91 per cent.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2013–14 data from the Elective surgery waiting times cluster in the NHMD were used to produce disaggregations by remoteness and socioeconomic status (all jurisdictions) for separations reported for patients admitted from elective surgery waiting lists. Approximately 96 per cent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2013–14, the proportion of patients admitted from waiting lists who were assigned to Category 3 treatment clinically recommended within 365 days) was 43% for New South Wales and 19% for Queensland (Table B3.1 from </w:t>
            </w:r>
            <w:r>
              <w:rPr>
                <w:rStyle w:val="row-content-rich-text"/>
                <w:i/>
              </w:rPr>
              <w:t xml:space="preserve">Australian hospital statistics 2013–14: elective surgery waiting times</w:t>
            </w:r>
            <w:r>
              <w:rPr>
                <w:rStyle w:val="row-content-rich-text"/>
              </w:rPr>
              <w:t xml:space="preserve">, Appendix A online tables  </w:t>
            </w:r>
            <w:hyperlink w:history="true" r:id="R205eddc3ab3d47d0">
              <w:r>
                <w:rPr>
                  <w:rStyle w:val="Hyperlink"/>
                </w:rPr>
                <w:t xml:space="preserve">http://www.aihw.gov.au/publication-detail/?id=60129549064</w:t>
              </w:r>
            </w:hyperlink>
            <w:r>
              <w:rPr>
                <w:rStyle w:val="row-content-rich-text"/>
              </w:rPr>
              <w:t xml:space="preserve"> </w:t>
            </w:r>
          </w:p>
          <w:p>
            <w:pPr>
              <w:spacing w:after="160"/>
            </w:pPr>
            <w:r>
              <w:rPr>
                <w:rStyle w:val="row-content-rich-text"/>
              </w:rPr>
              <w:t xml:space="preserve">Table B3.1: Admissions from waiting lists for elective surgery, by clinical urgency category, states and territories, 2013–14 (per cent)</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p>
              </w:tc>
              <w:tc>
                <w:tcPr>
                  <w:tcW w:w="400" w:type="pct"/>
                  <w:vAlign w:val="top"/>
                </w:tcPr>
                <w:p>
                  <w:r>
                    <w:t xml:space="preserve">NSW</w:t>
                  </w:r>
                </w:p>
              </w:tc>
              <w:tc>
                <w:tcPr>
                  <w:tcW w:w="400" w:type="pct"/>
                  <w:vAlign w:val="top"/>
                </w:tcPr>
                <w:p>
                  <w:r>
                    <w:t xml:space="preserve">Vic</w:t>
                  </w:r>
                </w:p>
              </w:tc>
              <w:tc>
                <w:tcPr>
                  <w:tcW w:w="400" w:type="pct"/>
                  <w:vAlign w:val="top"/>
                </w:tcPr>
                <w:p>
                  <w:r>
                    <w:t xml:space="preserve">Qld</w:t>
                  </w:r>
                </w:p>
              </w:tc>
              <w:tc>
                <w:tcPr>
                  <w:tcW w:w="400" w:type="pct"/>
                  <w:vAlign w:val="top"/>
                </w:tcPr>
                <w:p>
                  <w:r>
                    <w:t xml:space="preserve">WA</w:t>
                  </w:r>
                </w:p>
              </w:tc>
              <w:tc>
                <w:tcPr>
                  <w:tcW w:w="450" w:type="pct"/>
                  <w:vAlign w:val="top"/>
                </w:tcPr>
                <w:p>
                  <w:r>
                    <w:t xml:space="preserve">SA</w:t>
                  </w:r>
                </w:p>
              </w:tc>
              <w:tc>
                <w:tcPr>
                  <w:tcW w:w="400" w:type="pct"/>
                  <w:vAlign w:val="top"/>
                </w:tcPr>
                <w:p>
                  <w:r>
                    <w:t xml:space="preserve">Tas</w:t>
                  </w:r>
                </w:p>
              </w:tc>
              <w:tc>
                <w:tcPr>
                  <w:tcW w:w="400" w:type="pct"/>
                  <w:vAlign w:val="top"/>
                </w:tcPr>
                <w:p>
                  <w:r>
                    <w:t xml:space="preserve">ACT</w:t>
                  </w:r>
                </w:p>
              </w:tc>
              <w:tc>
                <w:tcPr>
                  <w:tcW w:w="350" w:type="pct"/>
                  <w:vAlign w:val="top"/>
                </w:tcPr>
                <w:p>
                  <w:r>
                    <w:t xml:space="preserve">NT</w:t>
                  </w:r>
                </w:p>
              </w:tc>
              <w:tc>
                <w:tcPr>
                  <w:tcW w:w="450" w:type="pct"/>
                  <w:vAlign w:val="top"/>
                </w:tcPr>
                <w:p>
                  <w:r>
                    <w:t xml:space="preserve">Total</w:t>
                  </w:r>
                </w:p>
              </w:tc>
            </w:tr>
            <w:tr>
              <w:trPr/>
              <w:tc>
                <w:tcPr>
                  <w:tcW w:w="11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Per</w:t>
                  </w:r>
                </w:p>
              </w:tc>
              <w:tc>
                <w:tcPr>
                  <w:tcW w:w="450" w:type="pct"/>
                  <w:vAlign w:val="top"/>
                </w:tcPr>
                <w:p>
                  <w: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29</w:t>
                  </w:r>
                </w:p>
              </w:tc>
              <w:tc>
                <w:tcPr>
                  <w:tcW w:w="400" w:type="pct"/>
                  <w:vAlign w:val="top"/>
                </w:tcPr>
                <w:p>
                  <w:r>
                    <w:t xml:space="preserve">39</w:t>
                  </w:r>
                </w:p>
              </w:tc>
              <w:tc>
                <w:tcPr>
                  <w:tcW w:w="400" w:type="pct"/>
                  <w:vAlign w:val="top"/>
                </w:tcPr>
                <w:p>
                  <w:r>
                    <w:t xml:space="preserve">25</w:t>
                  </w:r>
                </w:p>
              </w:tc>
              <w:tc>
                <w:tcPr>
                  <w:tcW w:w="450" w:type="pct"/>
                  <w:vAlign w:val="top"/>
                </w:tcPr>
                <w:p>
                  <w:r>
                    <w:t xml:space="preserve">25</w:t>
                  </w:r>
                </w:p>
              </w:tc>
              <w:tc>
                <w:tcPr>
                  <w:tcW w:w="400" w:type="pct"/>
                  <w:vAlign w:val="top"/>
                </w:tcPr>
                <w:p>
                  <w:r>
                    <w:t xml:space="preserve">38</w:t>
                  </w:r>
                </w:p>
              </w:tc>
              <w:tc>
                <w:tcPr>
                  <w:tcW w:w="400" w:type="pct"/>
                  <w:vAlign w:val="top"/>
                </w:tcPr>
                <w:p>
                  <w:r>
                    <w:t xml:space="preserve">29</w:t>
                  </w:r>
                </w:p>
              </w:tc>
              <w:tc>
                <w:tcPr>
                  <w:tcW w:w="350" w:type="pct"/>
                  <w:vAlign w:val="top"/>
                </w:tcPr>
                <w:p>
                  <w:r>
                    <w:t xml:space="preserve">30</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33</w:t>
                  </w:r>
                </w:p>
              </w:tc>
              <w:tc>
                <w:tcPr>
                  <w:tcW w:w="400" w:type="pct"/>
                  <w:vAlign w:val="top"/>
                </w:tcPr>
                <w:p>
                  <w:r>
                    <w:t xml:space="preserve">48</w:t>
                  </w:r>
                </w:p>
              </w:tc>
              <w:tc>
                <w:tcPr>
                  <w:tcW w:w="400" w:type="pct"/>
                  <w:vAlign w:val="top"/>
                </w:tcPr>
                <w:p>
                  <w:r>
                    <w:t xml:space="preserve">42</w:t>
                  </w:r>
                </w:p>
              </w:tc>
              <w:tc>
                <w:tcPr>
                  <w:tcW w:w="400" w:type="pct"/>
                  <w:vAlign w:val="top"/>
                </w:tcPr>
                <w:p>
                  <w:r>
                    <w:t xml:space="preserve">37</w:t>
                  </w:r>
                </w:p>
              </w:tc>
              <w:tc>
                <w:tcPr>
                  <w:tcW w:w="450" w:type="pct"/>
                  <w:vAlign w:val="top"/>
                </w:tcPr>
                <w:p>
                  <w:r>
                    <w:t xml:space="preserve">36</w:t>
                  </w:r>
                </w:p>
              </w:tc>
              <w:tc>
                <w:tcPr>
                  <w:tcW w:w="400" w:type="pct"/>
                  <w:vAlign w:val="top"/>
                </w:tcPr>
                <w:p>
                  <w:r>
                    <w:t xml:space="preserve">42</w:t>
                  </w:r>
                </w:p>
              </w:tc>
              <w:tc>
                <w:tcPr>
                  <w:tcW w:w="400" w:type="pct"/>
                  <w:vAlign w:val="top"/>
                </w:tcPr>
                <w:p>
                  <w:r>
                    <w:t xml:space="preserve">44</w:t>
                  </w:r>
                </w:p>
              </w:tc>
              <w:tc>
                <w:tcPr>
                  <w:tcW w:w="350" w:type="pct"/>
                  <w:vAlign w:val="top"/>
                </w:tcPr>
                <w:p>
                  <w:r>
                    <w:t xml:space="preserve">48</w:t>
                  </w:r>
                </w:p>
              </w:tc>
              <w:tc>
                <w:tcPr>
                  <w:tcW w:w="450" w:type="pct"/>
                  <w:vAlign w:val="top"/>
                </w:tcPr>
                <w:p>
                  <w:r>
                    <w:t xml:space="preserve">40</w:t>
                  </w:r>
                </w:p>
              </w:tc>
            </w:tr>
            <w:tr>
              <w:trPr/>
              <w:tc>
                <w:tcPr>
                  <w:tcW w:w="1150" w:type="pct"/>
                  <w:vAlign w:val="top"/>
                </w:tcPr>
                <w:p>
                  <w:r>
                    <w:t xml:space="preserve">Category 3</w:t>
                  </w:r>
                </w:p>
              </w:tc>
              <w:tc>
                <w:tcPr>
                  <w:tcW w:w="400" w:type="pct"/>
                  <w:vAlign w:val="top"/>
                </w:tcPr>
                <w:p>
                  <w:r>
                    <w:t xml:space="preserve">43</w:t>
                  </w:r>
                </w:p>
              </w:tc>
              <w:tc>
                <w:tcPr>
                  <w:tcW w:w="400" w:type="pct"/>
                  <w:vAlign w:val="top"/>
                </w:tcPr>
                <w:p>
                  <w:r>
                    <w:t xml:space="preserve">23</w:t>
                  </w:r>
                </w:p>
              </w:tc>
              <w:tc>
                <w:tcPr>
                  <w:tcW w:w="400" w:type="pct"/>
                  <w:vAlign w:val="top"/>
                </w:tcPr>
                <w:p>
                  <w:r>
                    <w:t xml:space="preserve">19</w:t>
                  </w:r>
                </w:p>
              </w:tc>
              <w:tc>
                <w:tcPr>
                  <w:tcW w:w="400" w:type="pct"/>
                  <w:vAlign w:val="top"/>
                </w:tcPr>
                <w:p>
                  <w:r>
                    <w:t xml:space="preserve">38</w:t>
                  </w:r>
                </w:p>
              </w:tc>
              <w:tc>
                <w:tcPr>
                  <w:tcW w:w="450" w:type="pct"/>
                  <w:vAlign w:val="top"/>
                </w:tcPr>
                <w:p>
                  <w:r>
                    <w:t xml:space="preserve">39</w:t>
                  </w:r>
                </w:p>
              </w:tc>
              <w:tc>
                <w:tcPr>
                  <w:tcW w:w="400" w:type="pct"/>
                  <w:vAlign w:val="top"/>
                </w:tcPr>
                <w:p>
                  <w:r>
                    <w:t xml:space="preserve">20</w:t>
                  </w:r>
                </w:p>
              </w:tc>
              <w:tc>
                <w:tcPr>
                  <w:tcW w:w="400" w:type="pct"/>
                  <w:vAlign w:val="top"/>
                </w:tcPr>
                <w:p>
                  <w:r>
                    <w:t xml:space="preserve">26</w:t>
                  </w:r>
                </w:p>
              </w:tc>
              <w:tc>
                <w:tcPr>
                  <w:tcW w:w="350" w:type="pct"/>
                  <w:vAlign w:val="top"/>
                </w:tcPr>
                <w:p>
                  <w:r>
                    <w:t xml:space="preserve">22</w:t>
                  </w:r>
                </w:p>
              </w:tc>
              <w:tc>
                <w:tcPr>
                  <w:tcW w:w="450" w:type="pct"/>
                  <w:vAlign w:val="top"/>
                </w:tcPr>
                <w:p>
                  <w:r>
                    <w:t xml:space="preserve">32</w:t>
                  </w:r>
                </w:p>
              </w:tc>
            </w:tr>
            <w:tr>
              <w:trPr/>
              <w:tc>
                <w:tcPr>
                  <w:tcW w:w="1150" w:type="pct"/>
                  <w:vAlign w:val="top"/>
                </w:tcPr>
                <w:p>
                  <w: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Source: AIHW 2014. Australian hospital Statistics 2013–14: elective surgery waiting times. Health service series No.56. Cat. no. HSE 151.</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The AIHW has developed a revised peer grouping for analysing and interpreting hospitals statistics and performance information. (See </w:t>
            </w:r>
            <w:hyperlink w:history="true" r:id="R6e7ebd7278db4a19">
              <w:r>
                <w:rPr>
                  <w:rStyle w:val="Hyperlink"/>
                </w:rPr>
                <w:t xml:space="preserve">http://www.aihw.gov.au/publication-detail/?id=60129553446</w:t>
              </w:r>
            </w:hyperlink>
            <w: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 </w:t>
            </w:r>
            <w:r>
              <w:rPr>
                <w:rStyle w:val="row-content-rich-text"/>
              </w:rPr>
              <w:t xml:space="preserve">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0e48471f582408e">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776c289fb8ee49f3">
              <w:r>
                <w:rPr>
                  <w:rStyle w:val="Hyperlink"/>
                </w:rPr>
                <w:t xml:space="preserve">http://www.aihw.gov.au/nhissc/</w:t>
              </w:r>
            </w:hyperlink>
            <w:r>
              <w:rPr>
                <w:rStyle w:val="row-content-rich-text"/>
              </w:rPr>
              <w:t xml:space="preserve">  </w:t>
            </w:r>
          </w:p>
          <w:p>
            <w:hyperlink w:history="true" r:id="R56eab70b8b9c4c1a">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2012–13 and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3d26d080a0774a4c">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NMDS and the Admitted patient care NMDS is published in the AIHW’s online metadata repository, METeOR, and the </w:t>
            </w:r>
            <w:r>
              <w:rPr>
                <w:rStyle w:val="row-content-rich-text"/>
                <w:i/>
              </w:rPr>
              <w:t xml:space="preserve">National health data dictionary.</w:t>
            </w:r>
          </w:p>
          <w:p>
            <w:pPr>
              <w:spacing w:after="160"/>
            </w:pPr>
            <w:r>
              <w:rPr>
                <w:rStyle w:val="row-content-rich-text"/>
              </w:rPr>
              <w:t xml:space="preserve">The </w:t>
            </w:r>
            <w:r>
              <w:rPr>
                <w:rStyle w:val="row-content-rich-text"/>
                <w:i/>
              </w:rPr>
              <w:t xml:space="preserve">National health data dictionary </w:t>
            </w:r>
            <w:r>
              <w:rPr>
                <w:rStyle w:val="row-content-rich-text"/>
              </w:rPr>
              <w:t xml:space="preserve">can be accessed online at:</w:t>
            </w:r>
          </w:p>
          <w:p>
            <w:hyperlink w:history="true" r:id="Rba12d253e3a3405b">
              <w:r>
                <w:rPr>
                  <w:rStyle w:val="Hyperlink"/>
                </w:rPr>
                <w:t xml:space="preserve">/content/index.phtml/itemId/268110</w:t>
              </w:r>
            </w:hyperlink>
          </w:p>
          <w:p>
            <w:pPr>
              <w:spacing w:after="160"/>
            </w:pPr>
            <w:r>
              <w:rPr>
                <w:rStyle w:val="row-content-rich-text"/>
              </w:rPr>
              <w:t xml:space="preserve">The Data Quality Statement for the 2013–14 NESWTDC can be accessed on the AIHW website at: </w:t>
            </w:r>
            <w:hyperlink w:history="true" r:id="R923c59c81a324765">
              <w:r>
                <w:rPr>
                  <w:rStyle w:val="Hyperlink"/>
                </w:rPr>
                <w:t xml:space="preserve">/content/index.phtml/itemId/592510</w:t>
              </w:r>
            </w:hyperlink>
          </w:p>
          <w:p>
            <w:pPr>
              <w:spacing w:after="160"/>
            </w:pPr>
            <w:r>
              <w:rPr>
                <w:rStyle w:val="row-content-rich-text"/>
              </w:rPr>
              <w:t xml:space="preserve"> The Data Quality Statement for the 2013–14 NHMD can be accessed on the AIHW website at:</w:t>
            </w:r>
          </w:p>
          <w:p>
            <w:hyperlink w:history="true" r:id="Radf32e1ac7234b49">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Area level 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w:t>
            </w:r>
          </w:p>
          <w:p>
            <w:pPr>
              <w:pStyle w:val="ListParagraph"/>
              <w:numPr>
                <w:ilvl w:val="0"/>
                <w:numId w:val="4"/>
              </w:numPr>
            </w:pPr>
            <w:r>
              <w:rPr>
                <w:rStyle w:val="row-content-rich-text"/>
              </w:rPr>
              <w:t xml:space="preserve">Coverage of the NESWTDC was 93 per cent nationally, and 97 per cent or more in all states and territories except Victoria, where it was 77 per cent. </w:t>
            </w:r>
          </w:p>
          <w:p>
            <w:pPr>
              <w:pStyle w:val="ListParagraph"/>
              <w:numPr>
                <w:ilvl w:val="0"/>
                <w:numId w:val="4"/>
              </w:numPr>
            </w:pPr>
            <w:r>
              <w:rPr>
                <w:rStyle w:val="row-content-rich-text"/>
              </w:rPr>
              <w:t xml:space="preserve">Almost all public hospitals provided data for the NHMD in 2013–14, with the exception of all separations for a mothercraft hospital in the Australian Capital Territory. Approximately 96 per cent of NESWTDC records for removals for elective surgery were also provided in the Elective surgery waiting times cluster in the NHMD.</w:t>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4"/>
              </w:numPr>
            </w:pPr>
            <w:r>
              <w:rPr>
                <w:rStyle w:val="row-content-rich-text"/>
              </w:rPr>
              <w:t xml:space="preserve">The Indigenous status data were sourced from the NHMD in 2013–14 for all jurisdictions. </w:t>
            </w:r>
          </w:p>
          <w:p>
            <w:pPr>
              <w:pStyle w:val="ListParagraph"/>
              <w:numPr>
                <w:ilvl w:val="0"/>
                <w:numId w:val="4"/>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4"/>
              </w:numPr>
            </w:pPr>
            <w:r>
              <w:rPr>
                <w:rStyle w:val="row-content-rich-text"/>
              </w:rPr>
              <w:t xml:space="preserve">From 2011–12, South Australia and Western Australia provided data for a large number of smaller hospitals (32 and 22 respectively) that were not included in the data for previous years. </w:t>
            </w:r>
          </w:p>
          <w:p>
            <w:pPr>
              <w:pStyle w:val="ListParagraph"/>
              <w:numPr>
                <w:ilvl w:val="0"/>
                <w:numId w:val="4"/>
              </w:numPr>
            </w:pPr>
            <w:r>
              <w:rPr>
                <w:rStyle w:val="row-content-rich-text"/>
              </w:rP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4"/>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100 elective surgery admissions were suppressed.</w:t>
            </w:r>
          </w:p>
          <w:p>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2013–14: elective surgery waiting times,</w:t>
            </w:r>
            <w:r>
              <w:rPr>
                <w:rStyle w:val="row-content-rich-text"/>
              </w:rPr>
              <w:t xml:space="preserve"> Appendix A </w:t>
            </w:r>
            <w:hyperlink w:history="true" r:id="Rf1089edf609d4735">
              <w:r>
                <w:rPr>
                  <w:rStyle w:val="Hyperlink"/>
                </w:rPr>
                <w:t xml:space="preserve">http://www.aihw.gov.au/publication-detail/?id=60129549064</w:t>
              </w:r>
            </w:hyperlink>
            <w:r>
              <w:rPr>
                <w:rStyle w:val="row-content-rich-text"/>
              </w:rPr>
              <w:t xml:space="preserve">).</w:t>
            </w:r>
          </w:p>
          <w:p>
            <w:pPr>
              <w:spacing w:after="160"/>
            </w:pPr>
            <w:r>
              <w:rPr>
                <w:rStyle w:val="row-content-rich-text"/>
              </w:rPr>
              <w:t xml:space="preserve">The AIHW has developed a revised peer grouping for analysing and interpreting hospitals statistics and performance information. (See </w:t>
            </w:r>
            <w:hyperlink w:history="true" r:id="R793c6f0423584497">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2011–12 for this report.</w:t>
            </w:r>
          </w:p>
          <w:p>
            <w:pPr>
              <w:spacing w:after="160"/>
            </w:pPr>
            <w:r>
              <w:rPr>
                <w:rStyle w:val="row-content-rich-text"/>
              </w:rPr>
              <w:t xml:space="preserve">The data can be meaningfully compared across reference periods, except for the Indigenous disaggregation. Caution should be used in comparing data using the previous peer group classification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2013–14, Australian hospital statistics: elective surgery waiting times</w:t>
            </w:r>
            <w:r>
              <w:rPr>
                <w:rStyle w:val="row-content-rich-text"/>
              </w:rPr>
              <w:t xml:space="preserve"> (report series).</w:t>
            </w:r>
          </w:p>
          <w:p>
            <w:pPr>
              <w:spacing w:after="160"/>
            </w:pPr>
            <w:r>
              <w:rPr>
                <w:rStyle w:val="row-content-rich-text"/>
              </w:rPr>
              <w:t xml:space="preserve">The data reported for the 2013–14 and 2014–15 NEWSTDC are consistent with data reported for previous years for individual hospitals.</w:t>
            </w:r>
          </w:p>
          <w:p>
            <w:pPr>
              <w:spacing w:after="160"/>
            </w:pPr>
            <w:r>
              <w:rPr>
                <w:rStyle w:val="row-content-rich-text"/>
              </w:rPr>
              <w:t xml:space="preserve">In addition, some 2013–14 data reported previously in these publications are different from the equivalent data published here depending upon the peer group classification used.  </w:t>
            </w:r>
          </w:p>
          <w:p>
            <w:pPr>
              <w:spacing w:after="160"/>
            </w:pPr>
            <w:r>
              <w:rPr>
                <w:rStyle w:val="row-content-rich-text"/>
              </w:rPr>
              <w:t xml:space="preserve">Caution should be exercised when interpreting the 2014–15 data as potential revisions to the 2014–15 NESWTDC data could occur following jurisdictional provision of elective surgery waiting times cluster data.</w:t>
            </w:r>
          </w:p>
          <w:p>
            <w:pPr>
              <w:spacing w:after="160"/>
            </w:pPr>
            <w:r>
              <w:rPr>
                <w:rStyle w:val="row-content-rich-text"/>
              </w:rPr>
              <w:t xml:space="preserve">Analyses presented in </w:t>
            </w:r>
            <w:r>
              <w:rPr>
                <w:rStyle w:val="row-content-rich-text"/>
                <w:i/>
              </w:rPr>
              <w:t xml:space="preserve">Australian hospital statistics </w:t>
            </w:r>
            <w:r>
              <w:rPr>
                <w:rStyle w:val="row-content-rich-text"/>
              </w:rPr>
              <w:t xml:space="preserve">and previous </w:t>
            </w:r>
            <w:r>
              <w:rPr>
                <w:rStyle w:val="row-content-rich-text"/>
                <w:i/>
              </w:rPr>
              <w:t xml:space="preserve">National Healthcare Agreement performance reports </w:t>
            </w:r>
            <w:r>
              <w:rPr>
                <w:rStyle w:val="row-content-rich-text"/>
              </w:rPr>
              <w:t xml:space="preserve">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When comparing data over time, analyses based on data that has been linked to the NHMD should not be compared with analyses based on data sourced from the NESWTDC. 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9a580b1453497e">
              <w:r>
                <w:rPr>
                  <w:rStyle w:val="Hyperlink"/>
                </w:rPr>
                <w:t xml:space="preserve">National Healthcare Agreement: PI 20a-Waiting times for elective surgery: waiting time in days, 2015 QS</w:t>
              </w:r>
            </w:hyperlink>
          </w:p>
          <w:p>
            <w:pPr>
              <w:pStyle w:val="registration-status"/>
              <w:spacing w:before="0" w:after="0"/>
            </w:pPr>
            <w:hyperlink w:history="true" r:id="Ra22f77cd989e4a9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a8717d0de8a4cc6">
              <w:r>
                <w:rPr>
                  <w:rStyle w:val="Hyperlink"/>
                </w:rPr>
                <w:t xml:space="preserve">National Healthcare Agreement: PI 20a-Waiting times for elective surgery: waiting time in days, 2017 QS</w:t>
              </w:r>
            </w:hyperlink>
          </w:p>
          <w:p>
            <w:pPr>
              <w:pStyle w:val="registration-status"/>
              <w:spacing w:before="0" w:after="0"/>
            </w:pPr>
            <w:hyperlink w:history="true" r:id="R0db621664f434c3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09c744a9b0049e8">
              <w:r>
                <w:rPr>
                  <w:rStyle w:val="Hyperlink"/>
                </w:rPr>
                <w:t xml:space="preserve">National Healthcare Agreement: PI 20a–Waiting times for elective surgery: waiting times in days, 2016</w:t>
              </w:r>
            </w:hyperlink>
          </w:p>
          <w:p>
            <w:pPr>
              <w:pStyle w:val="registration-status"/>
              <w:spacing w:before="0" w:after="0"/>
            </w:pPr>
            <w:hyperlink w:history="true" r:id="R07c7c48734b8444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c543e74663d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2a6043eb1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43e74663d46a3" /><Relationship Type="http://schemas.openxmlformats.org/officeDocument/2006/relationships/header" Target="/word/header1.xml" Id="R935bce1c79eb49ca" /><Relationship Type="http://schemas.openxmlformats.org/officeDocument/2006/relationships/settings" Target="/word/settings.xml" Id="R19d22286a6f04fb6" /><Relationship Type="http://schemas.openxmlformats.org/officeDocument/2006/relationships/styles" Target="/word/styles.xml" Id="R7ee019d1529e4223" /><Relationship Type="http://schemas.openxmlformats.org/officeDocument/2006/relationships/numbering" Target="/word/numbering.xml" Id="R790977c789c24ec9" /><Relationship Type="http://schemas.openxmlformats.org/officeDocument/2006/relationships/hyperlink" Target="https://meteor.aihw.gov.au/RegistrationAuthority/12" TargetMode="External" Id="Ra790327cf6de4983" /><Relationship Type="http://schemas.openxmlformats.org/officeDocument/2006/relationships/hyperlink" Target="http://www.aihw.gov.au/publication-detail/?id=60129549064" TargetMode="External" Id="R205eddc3ab3d47d0" /><Relationship Type="http://schemas.openxmlformats.org/officeDocument/2006/relationships/hyperlink" Target="http://www.aihw.gov.au/publication-detail/?id=60129553446" TargetMode="External" Id="R6e7ebd7278db4a19" /><Relationship Type="http://schemas.openxmlformats.org/officeDocument/2006/relationships/hyperlink" Target="http://www.aihw.gov.au/" TargetMode="External" Id="Re0e48471f582408e" /><Relationship Type="http://schemas.openxmlformats.org/officeDocument/2006/relationships/hyperlink" Target="http://www.aihw.gov.au/nhissc/" TargetMode="External" Id="R776c289fb8ee49f3" /><Relationship Type="http://schemas.openxmlformats.org/officeDocument/2006/relationships/hyperlink" Target="https://meteor.aihw.gov.au/content/182135" TargetMode="External" Id="R56eab70b8b9c4c1a" /><Relationship Type="http://schemas.openxmlformats.org/officeDocument/2006/relationships/hyperlink" Target="http://www.aihw.gov.au/hospitals/" TargetMode="External" Id="R3d26d080a0774a4c" /><Relationship Type="http://schemas.openxmlformats.org/officeDocument/2006/relationships/hyperlink" Target="https://meteor.aihw.gov.au/content/268110" TargetMode="External" Id="Rba12d253e3a3405b" /><Relationship Type="http://schemas.openxmlformats.org/officeDocument/2006/relationships/hyperlink" Target="https://meteor.aihw.gov.au/content/592510" TargetMode="External" Id="R923c59c81a324765" /><Relationship Type="http://schemas.openxmlformats.org/officeDocument/2006/relationships/hyperlink" Target="https://meteor.aihw.gov.au/content/611030" TargetMode="External" Id="Radf32e1ac7234b49" /><Relationship Type="http://schemas.openxmlformats.org/officeDocument/2006/relationships/hyperlink" Target="http://www.aihw.gov.au/publication-detail/?id=60129549064" TargetMode="External" Id="Rf1089edf609d4735" /><Relationship Type="http://schemas.openxmlformats.org/officeDocument/2006/relationships/hyperlink" Target="http://www.aihw.gov.au/publication-detail/?id=60129553446" TargetMode="External" Id="R793c6f0423584497" /><Relationship Type="http://schemas.openxmlformats.org/officeDocument/2006/relationships/hyperlink" Target="https://meteor.aihw.gov.au/content/559107" TargetMode="External" Id="Rb09a580b1453497e" /><Relationship Type="http://schemas.openxmlformats.org/officeDocument/2006/relationships/hyperlink" Target="https://meteor.aihw.gov.au/RegistrationAuthority/12" TargetMode="External" Id="Ra22f77cd989e4a99" /><Relationship Type="http://schemas.openxmlformats.org/officeDocument/2006/relationships/hyperlink" Target="https://meteor.aihw.gov.au/content/630447" TargetMode="External" Id="Rda8717d0de8a4cc6" /><Relationship Type="http://schemas.openxmlformats.org/officeDocument/2006/relationships/hyperlink" Target="https://meteor.aihw.gov.au/RegistrationAuthority/12" TargetMode="External" Id="R0db621664f434c38" /><Relationship Type="http://schemas.openxmlformats.org/officeDocument/2006/relationships/hyperlink" Target="https://meteor.aihw.gov.au/content/598742" TargetMode="External" Id="R709c744a9b0049e8" /><Relationship Type="http://schemas.openxmlformats.org/officeDocument/2006/relationships/hyperlink" Target="https://meteor.aihw.gov.au/RegistrationAuthority/12" TargetMode="External" Id="R07c7c48734b84446" /></Relationships>
</file>

<file path=word/_rels/header1.xml.rels>&#65279;<?xml version="1.0" encoding="utf-8"?><Relationships xmlns="http://schemas.openxmlformats.org/package/2006/relationships"><Relationship Type="http://schemas.openxmlformats.org/officeDocument/2006/relationships/image" Target="/media/image.png" Id="Rdc02a6043eb14680" /></Relationships>
</file>