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747127ff7a46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2016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600088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7269f1e4d4d6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03c98feb48c74141">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data used for this indicator became available 22 November 2013 for 2012–13, 28 November 2014 for 2013–14 and 13 November 2015 for 2014–15.</w:t>
            </w:r>
          </w:p>
          <w:p>
            <w:pPr>
              <w:spacing w:after="160"/>
            </w:pPr>
            <w:r>
              <w:rPr>
                <w:rStyle w:val="row-content-rich-text"/>
              </w:rPr>
              <w:t xml:space="preserve">Referenced Period: July 2014 to June 2015 (2014–15 data); July 2013 to June 2014 (2013–14 data); July 2012 to June 2013 (2012–13 data).</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in </w:t>
            </w:r>
            <w:r>
              <w:rPr>
                <w:rStyle w:val="row-content-rich-text"/>
                <w:i/>
              </w:rPr>
              <w:t xml:space="preserve">Health Services: Patient Experiences in Australia, 2009 </w:t>
            </w:r>
            <w:r>
              <w:rPr>
                <w:rStyle w:val="row-content-rich-text"/>
              </w:rPr>
              <w:t xml:space="preserve">(cat. no. 4839.0.55.001), </w:t>
            </w:r>
            <w:r>
              <w:rPr>
                <w:rStyle w:val="row-content-rich-text"/>
                <w:i/>
              </w:rPr>
              <w:t xml:space="preserve">Patient Experiences in Australia: Summary of Findings, 2010‑11, Patient Experiences in Australia: Summary of Findings, 2011‑12, Patient Experiences in Australia: Summary of Findings, 2012‑13, Patient Experiences in Australia: Summary of Findings, 2013‑14 and Patient Experiences in Australia: Summary of Findings, 2014‑15 </w:t>
            </w:r>
            <w:r>
              <w:rPr>
                <w:rStyle w:val="row-content-rich-text"/>
              </w:rPr>
              <w:t xml:space="preserve">(cat. no. 4839.0).</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 data were collected from a representative sample of the Australian population and questions were asked in context of the year prior to the survey. The data were collected over a twelve month period which should minimise any seasonality effects in the data.</w:t>
            </w:r>
          </w:p>
          <w:p>
            <w:pPr>
              <w:spacing w:after="160"/>
            </w:pPr>
            <w:r>
              <w:rPr>
                <w:rStyle w:val="row-content-rich-text"/>
              </w:rPr>
              <w:t xml:space="preserve">The 2014‑15 ABS Patient Experience data are published in Patient Experiences in Australia: Summary of Findings, 2014‑15 (Cat. no. 4839.0). The publication includes explanatory and technical notes.</w:t>
            </w:r>
          </w:p>
          <w:p>
            <w:pPr/>
            <w:r>
              <w:rPr>
                <w:rStyle w:val="row-content-rich-text"/>
              </w:rPr>
              <w:t xml:space="preserve">Any ambiguous or technical terms for the data are available from the Technical Note, Glossary and Explanatory Notes in the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remote and, from 2011‑12, very remote Australia).</w:t>
            </w:r>
          </w:p>
          <w:p>
            <w:pPr>
              <w:spacing w:after="160"/>
            </w:pPr>
            <w:r>
              <w:rPr>
                <w:rStyle w:val="row-content-rich-text"/>
              </w:rPr>
              <w:t xml:space="preserve">Data Completeness: All data are available for this measure from this source.</w:t>
            </w:r>
          </w:p>
          <w:p>
            <w:pPr>
              <w:spacing w:after="160"/>
            </w:pPr>
            <w:r>
              <w:rPr>
                <w:rStyle w:val="row-content-rich-text"/>
              </w:rPr>
              <w:t xml:space="preserve">Indigenous Statistics: Data are not available by Indigenous status for this measure. The 2012‑13 National Aboriginal and Torres Strait Islander Health Survey (NATSIHS) collected data on GP waiting times but differences in survey design and collection methodology between the Patient Experience survey and the NATSIHS mean the data are not comparable.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people aged 15 years or over in Australia, excluding the following:</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w:t>
            </w:r>
          </w:p>
          <w:p>
            <w:pPr>
              <w:spacing w:after="160"/>
            </w:pPr>
            <w:r>
              <w:rPr>
                <w:rStyle w:val="row-content-rich-text"/>
              </w:rPr>
              <w:t xml:space="preserve">From 2011‑12, the Patient Experience survey included households in very remote areas (although discrete Indigenous communities were still excluded). The inclusion of very remote areas will serve to improve the coverage of the estimates, particularly for the NT. Small differences evident in the NT estimates between 2010‑11 and 2011‑12 may in part be due to the inclusion of households in very remote areas. The exclusion of discrete Indigenous communities affects the NT more than other jurisdictions as more than 20 per cent of the population of the NT live in such communities.</w:t>
            </w:r>
          </w:p>
          <w:p>
            <w:pPr/>
            <w:r>
              <w:rPr>
                <w:rStyle w:val="row-content-rich-text"/>
              </w:rPr>
              <w:t xml:space="preserve">Data were self‑reported for this indicator. The definition of ‘urgent medical care’ was left up to the respondent, although discretionary interviewer advice was to include health issues that arose suddenly and were serious (e.g. fever, headache, vomiting, unexplained rash), and that seeing a GP to get a medical certificate for work for a less serious illness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Data were collected by computer assisted telephone interview for all iterations of the Patient Experience Survey. Data from an additional sample for the 2013‑14 Patient Experience Survey were predominantly collected face‑to‑face (see below for more information).</w:t>
            </w:r>
          </w:p>
          <w:p>
            <w:pPr>
              <w:spacing w:after="160"/>
            </w:pPr>
            <w:r>
              <w:rPr>
                <w:rStyle w:val="row-content-rich-text"/>
              </w:rPr>
              <w:t xml:space="preserve">Data Adjustments: Data were weighted to represent the total in scope Australian population, and were adjusted to account for confidentiality and non‑response.</w:t>
            </w:r>
          </w:p>
          <w:p>
            <w:pPr>
              <w:spacing w:after="160"/>
            </w:pPr>
            <w:r>
              <w:rPr>
                <w:rStyle w:val="row-content-rich-text"/>
              </w:rPr>
              <w:t xml:space="preserve">Sample/Collection size: The sample for the 2014‑15 survey was 27 341 fully‑responding persons.</w:t>
            </w:r>
          </w:p>
          <w:p>
            <w:pPr>
              <w:spacing w:after="160"/>
            </w:pPr>
            <w:r>
              <w:rPr>
                <w:rStyle w:val="row-content-rich-text"/>
              </w:rPr>
              <w:t xml:space="preserve">Response rate: Response rate for the 2014‑15 survey was 73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This indicator generally has acceptable levels of sampling error and provides reliable data for most breakdowns. However, RSEs for the waiting time category ‘4 hours or more but within 24 hours’ breakdowns are mostly greater than 25% and should either be used with caution or are considered too unreliable for general use. Similarly, data for the ‘other’ remoteness category has high RSEs when cross classified by State. Caution should be used when interpreting these data.</w:t>
            </w:r>
          </w:p>
          <w:p>
            <w:pPr>
              <w:spacing w:after="160"/>
            </w:pPr>
            <w:r>
              <w:rPr>
                <w:rStyle w:val="row-content-rich-text"/>
              </w:rPr>
              <w:t xml:space="preserve">Confidentiality:</w:t>
            </w:r>
          </w:p>
          <w:p>
            <w:pPr>
              <w:spacing w:after="160"/>
            </w:pPr>
            <w:r>
              <w:rPr>
                <w:rStyle w:val="row-content-rich-text"/>
              </w:rPr>
              <w:t xml:space="preserve">From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Data were self‑reported but not attitudinal, as respondents are reporting their experiences of using the health system (in this instance, the time they waited between making an appointment for urgent medical care and the time they got to see the GP).</w:t>
            </w:r>
          </w:p>
          <w:p>
            <w:pPr>
              <w:spacing w:after="160"/>
            </w:pPr>
            <w:r>
              <w:rPr>
                <w:rStyle w:val="row-content-rich-text"/>
              </w:rPr>
              <w:t xml:space="preserve">Explanatory footnotes are provided for each table.The data for this indicator is self‑reported but not attitudinal, as respondents are reporting their experiences of using the health system.</w:t>
            </w:r>
          </w:p>
          <w:p>
            <w:pPr>
              <w:spacing w:after="160"/>
            </w:pPr>
            <w:r>
              <w:rPr>
                <w:rStyle w:val="row-content-rich-text"/>
              </w:rPr>
              <w:t xml:space="preserve">Data is used from personal interviews only (i.e. excluding proxy interviews).</w:t>
            </w:r>
          </w:p>
          <w:p>
            <w:pPr>
              <w:spacing w:after="160"/>
            </w:pPr>
            <w:r>
              <w:rPr>
                <w:rStyle w:val="row-content-rich-text"/>
              </w:rPr>
              <w:t xml:space="preserve">Explanatory footnotes are provided for each table.</w:t>
            </w:r>
          </w:p>
          <w:p>
            <w:pPr>
              <w:spacing w:after="160"/>
            </w:pPr>
            <w:r>
              <w:rPr>
                <w:rStyle w:val="row-content-rich-text"/>
                <w:u w:val="single"/>
              </w:rPr>
              <w:t xml:space="preserve">Information specific to the 2013‑14 and preceding Patient Experience Surveys:</w:t>
            </w:r>
          </w:p>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which had a response rate 78.9 per cent. This increase will improve the reliability of the data, particularly at finer levels of disaggregation.</w:t>
            </w:r>
          </w:p>
          <w:p>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Questions relating to this indicator were also asked in 2010–11, 2011–12, 2012–13 and 2013–14 and 2014–15.</w:t>
            </w:r>
          </w:p>
          <w:p>
            <w:pPr>
              <w:spacing w:after="160"/>
            </w:pPr>
            <w:r>
              <w:rPr>
                <w:rStyle w:val="row-content-rich-text"/>
              </w:rPr>
              <w:t xml:space="preserve">Time series issues: 2014–15 is comparable to 2013–14, 2012–13 and 2011–12, but not to previous years. This has been footnoted in the relevant tables. The reason for the comparability issues stem from a significant change in question wording and coding methodology in the 2011–12 Patient Experience Survey for the ‘waiting times for GPs’ questions, and this has had an impact on the data.</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7e7576d5de4ac5">
              <w:r>
                <w:rPr>
                  <w:rStyle w:val="Hyperlink"/>
                </w:rPr>
                <w:t xml:space="preserve">National Healthcare Agreement: PI 12-Waiting times for GPs, 2015 QS</w:t>
              </w:r>
            </w:hyperlink>
          </w:p>
          <w:p>
            <w:pPr>
              <w:spacing w:before="0" w:after="0"/>
            </w:pPr>
            <w:r>
              <w:rPr>
                <w:rStyle w:val="row-content"/>
                <w:color w:val="244061"/>
              </w:rPr>
              <w:t xml:space="preserve">       </w:t>
            </w:r>
            <w:hyperlink w:history="true" r:id="Ra462b04ce17e4740">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06913804dd9740ac">
              <w:r>
                <w:rPr>
                  <w:rStyle w:val="Hyperlink"/>
                </w:rPr>
                <w:t xml:space="preserve">National Healthcare Agreement: PI 12-Waiting times for GPs, 2017 QS</w:t>
              </w:r>
            </w:hyperlink>
          </w:p>
          <w:p>
            <w:pPr>
              <w:spacing w:before="0" w:after="0"/>
            </w:pPr>
            <w:r>
              <w:rPr>
                <w:rStyle w:val="row-content"/>
                <w:color w:val="244061"/>
              </w:rPr>
              <w:t xml:space="preserve">       </w:t>
            </w:r>
            <w:hyperlink w:history="true" r:id="R568edca9c8a04169">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56b8756d1714aa0">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e15eb7ae207348d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63d8e5dc981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600088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c7b6a36dd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d8e5dc98148ff" /><Relationship Type="http://schemas.openxmlformats.org/officeDocument/2006/relationships/header" Target="/word/header1.xml" Id="Rebf40c255e62455d" /><Relationship Type="http://schemas.openxmlformats.org/officeDocument/2006/relationships/settings" Target="/word/settings.xml" Id="R010f6cf1d8a74940" /><Relationship Type="http://schemas.openxmlformats.org/officeDocument/2006/relationships/styles" Target="/word/styles.xml" Id="Ra9dfbe3438274e2c" /><Relationship Type="http://schemas.openxmlformats.org/officeDocument/2006/relationships/hyperlink" Target="https://meteor.aihw.gov.au/RegistrationAuthority/12" TargetMode="External" Id="Ra107269f1e4d4d6d" /><Relationship Type="http://schemas.openxmlformats.org/officeDocument/2006/relationships/hyperlink" Target="http://www.abs.gov.au" TargetMode="External" Id="R03c98feb48c74141" /><Relationship Type="http://schemas.openxmlformats.org/officeDocument/2006/relationships/numbering" Target="/word/numbering.xml" Id="Rcbb4794394324f53" /><Relationship Type="http://schemas.openxmlformats.org/officeDocument/2006/relationships/hyperlink" Target="https://meteor.aihw.gov.au/content/559121" TargetMode="External" Id="Rcc7e7576d5de4ac5" /><Relationship Type="http://schemas.openxmlformats.org/officeDocument/2006/relationships/hyperlink" Target="https://meteor.aihw.gov.au/RegistrationAuthority/12" TargetMode="External" Id="Ra462b04ce17e4740" /><Relationship Type="http://schemas.openxmlformats.org/officeDocument/2006/relationships/hyperlink" Target="https://meteor.aihw.gov.au/content/630424" TargetMode="External" Id="R06913804dd9740ac" /><Relationship Type="http://schemas.openxmlformats.org/officeDocument/2006/relationships/hyperlink" Target="https://meteor.aihw.gov.au/RegistrationAuthority/12" TargetMode="External" Id="R568edca9c8a04169" /><Relationship Type="http://schemas.openxmlformats.org/officeDocument/2006/relationships/hyperlink" Target="https://meteor.aihw.gov.au/content/598758" TargetMode="External" Id="R856b8756d1714aa0" /><Relationship Type="http://schemas.openxmlformats.org/officeDocument/2006/relationships/hyperlink" Target="https://meteor.aihw.gov.au/RegistrationAuthority/12" TargetMode="External" Id="Re15eb7ae207348da" /></Relationships>
</file>

<file path=word/_rels/header1.xml.rels>&#65279;<?xml version="1.0" encoding="utf-8"?><Relationships xmlns="http://schemas.openxmlformats.org/package/2006/relationships"><Relationship Type="http://schemas.openxmlformats.org/officeDocument/2006/relationships/image" Target="/media/image.png" Id="R2ddc7b6a36dd4981" /></Relationships>
</file>