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4b9e3d5a3464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7305e27f3435d">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Birthweight is included in the Perinatal National Minimum Data Set (NMDS) and data are complete for over 99.9 per cent of babies</w:t>
            </w:r>
          </w:p>
          <w:p>
            <w:pPr>
              <w:spacing w:after="160"/>
            </w:pPr>
            <w:r>
              <w:rPr>
                <w:rStyle w:val="row-content-rich-text"/>
              </w:rPr>
              <w:t xml:space="preserve">• This measure only includes births of at least 20 weeks gestation or 400 grams birthweight. It excludes multiple births and stillbirths and the measure may therefore differ slightly from information presented in other publications on low birthweight</w:t>
            </w:r>
          </w:p>
          <w:p>
            <w:pPr>
              <w:spacing w:after="160"/>
            </w:pPr>
            <w:r>
              <w:rPr>
                <w:rStyle w:val="row-content-rich-text"/>
              </w:rPr>
              <w:t xml:space="preserve">• The National Perinatal Data Collection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 No formal national assessment has been undertaken to determine completeness of the coverage or identification of Indigenous mothers or babies in the NPDC. The current data have not been adjusted for under-identification of Indigenous status of the mother or baby and thus jurisdictional comparisons of Indigenous data should not be made</w:t>
            </w:r>
          </w:p>
          <w:p>
            <w:pPr/>
            <w:r>
              <w:rPr>
                <w:rStyle w:val="row-content-rich-text"/>
              </w:rPr>
              <w:t xml:space="preserve">• Remoteness and SEIFA data for 2012 and subsequent years are not directly comparable with remoteness and SEIFA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Epidemiology and Statistics Unit (NPESU) calculated this indictor on behalf of the Australian Institute of Health and Welfare (AIHW). Data were supplied by State and Territory health authorities to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2013.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spacing w:after="160"/>
            </w:pPr>
            <w:r>
              <w:rPr>
                <w:rStyle w:val="row-content-rich-text"/>
              </w:rPr>
              <w:t xml:space="preserve">• </w:t>
            </w:r>
            <w:r>
              <w:rPr>
                <w:rStyle w:val="row-content-rich-text"/>
                <w:i/>
              </w:rPr>
              <w:t xml:space="preserve">Australia’s mothers and babies annual report </w:t>
            </w:r>
            <w:r>
              <w:br/>
            </w:r>
            <w:r>
              <w:rPr>
                <w:rStyle w:val="row-content-rich-text"/>
              </w:rPr>
              <w:t xml:space="preserve">• Perinatal data portal (SAS VA)—enables users to access and manipulate data from the National Perinatal Data Collection</w:t>
            </w:r>
            <w:r>
              <w:br/>
            </w:r>
            <w:r>
              <w:rPr>
                <w:rStyle w:val="row-content-rich-text"/>
              </w:rPr>
              <w:t xml:space="preserve">• </w:t>
            </w:r>
            <w:r>
              <w:rPr>
                <w:rStyle w:val="row-content-rich-text"/>
                <w:i/>
              </w:rPr>
              <w:t xml:space="preserve">Indigenous mothers and their babies, Australia 2001–2004</w:t>
            </w:r>
            <w:r>
              <w:br/>
            </w:r>
            <w:r>
              <w:rPr>
                <w:rStyle w:val="row-content-rich-text"/>
              </w:rPr>
              <w:t xml:space="preserve">• </w:t>
            </w:r>
            <w:r>
              <w:rPr>
                <w:rStyle w:val="row-content-rich-text"/>
                <w:i/>
              </w:rPr>
              <w:t xml:space="preserve">METeOR – online metadata repository</w:t>
            </w:r>
            <w:r>
              <w:br/>
            </w:r>
            <w:r>
              <w:rPr>
                <w:rStyle w:val="row-content-rich-text"/>
              </w:rPr>
              <w:t xml:space="preserve">• </w:t>
            </w: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 </w:t>
            </w:r>
            <w:r>
              <w:rPr>
                <w:rStyle w:val="row-content-rich-text"/>
              </w:rPr>
              <w:t xml:space="preserve">(Chapter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from WA, where births are included if gestational age is 20 weeks or more, or if gestation unknown, if birthweight is at least 400 grams, and in Victoria where stillbirths are included if gestational age is 20 weeks or more, or if gestation unknown, if birthweight is at least 400 grams. The Perinatal NMDS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The Perinatal NMDS includes all relevant data elements of interest for this indicator. In 2013, very few (0.06 per cent) records for live-born singleton babies were missing the data for birthweight.</w:t>
            </w:r>
          </w:p>
          <w:p>
            <w:pPr>
              <w:spacing w:after="160"/>
            </w:pPr>
            <w:r>
              <w:rPr>
                <w:rStyle w:val="row-content-rich-text"/>
              </w:rPr>
              <w:t xml:space="preserve">Data for Indigenous status of the baby was available from all jurisdictions in 2013. Before 2012 reporting of Indigenous status of the baby is based on maternal Indigenous status. Between 2008-2011, this represented a relatively stable range of 73-74 per cent of all Indigenous births based on data from ABS birth registrations (ABS 2014: </w:t>
            </w:r>
            <w:r>
              <w:rPr>
                <w:rStyle w:val="row-content-rich-text"/>
                <w:i/>
              </w:rPr>
              <w:t xml:space="preserve">Births, Australia 2013</w:t>
            </w:r>
            <w:r>
              <w:rPr>
                <w:rStyle w:val="row-content-rich-text"/>
              </w:rPr>
              <w:t xml:space="preserve">).</w:t>
            </w:r>
          </w:p>
          <w:p>
            <w:pPr>
              <w:spacing w:after="160"/>
            </w:pPr>
            <w:r>
              <w:rPr>
                <w:rStyle w:val="row-content-rich-text"/>
              </w:rPr>
              <w:t xml:space="preserve">While each jurisdiction has a unique perinatal form for collecting data on which the format of the Indigenous status question and recording categories vary slightly, all systems include the NMDS item on Indigenous status of mother since 2005 and baby from 2012.</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2002–2013 has been consistent, at 3.5 - 4.1 per cent of women who gave birth. For maternal records where Indigenous status was not stated (0.2 per cent), data were excluded from Indigenous and non-Indigenous analyses.</w:t>
            </w:r>
          </w:p>
          <w:p>
            <w:pPr/>
            <w:r>
              <w:rPr>
                <w:rStyle w:val="row-content-rich-text"/>
              </w:rPr>
              <w:t xml:space="preserve">The indicator is presented by Socio-Economic Indexes for Areas (SEIFA) Index of Relative Socio-Economic Disadvantage (IRSD). The data supplied to the NPDC include a code for SA2 except from ACT who supplied a code for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AIHW and in previous years NPESU have undertaken validation on receipt of data by the States and Territories. Data received from states and territories are checked for completeness, validity and logical errors. Potential errors are queried with jurisdictions, and corrections and resubmissions are made in response to these edit queries. In preparing these indicators the NPESU did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geographical location code for the area of usual residence of the mother is included in the Perinatal NMDS. Only 0.1 per cent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0.06 per cent of records missing these data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and 3.5 per cent of babies had missing information about their Indigenous status. Jurisdictional differences in the level of data missing for maternal Indigenous status ranges from less than 0% to 1.6% and there may also be differences in the rates of Indigenous under-identification. Therefore,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w:t>
            </w:r>
            <w:r>
              <w:rPr>
                <w:rStyle w:val="row-content-rich-text"/>
              </w:rPr>
              <w:t xml:space="preserve">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 </w:t>
            </w:r>
            <w:r>
              <w:rPr>
                <w:rStyle w:val="row-content-rich-text"/>
              </w:rPr>
              <w:t xml:space="preserve">reports. The numbers presented in these publications will differ slightly from those presented here as this measure excludes multiple births and stillbirths.</w:t>
            </w:r>
            <w:r>
              <w:br/>
            </w: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r>
              <w:br/>
            </w:r>
            <w:r>
              <w:rPr>
                <w:rStyle w:val="row-content-rich-text"/>
              </w:rPr>
              <w:t xml:space="preserve">The new remoteness areas will be referred to as RA 2011, and the previous remoteness areas as RA 2006.  The new SEIFA will be referred to as SEIFA 2011, and the previous SEIFA as SEIFA 2006.</w:t>
            </w:r>
          </w:p>
          <w:p>
            <w:pPr/>
            <w:r>
              <w:rPr>
                <w:rStyle w:val="row-content-rich-text"/>
              </w:rPr>
              <w:t xml:space="preserve">Data for 2007 through to 2011 reported by remoteness are reported for RA 2006.  Data for 2012 and 2013 are reported for RA 2011.  The AIHW considers the change from RA 2006 to RA 2011 to be a series break when applied to data supplied for this indicator, therefore data for 2012 and subsequent years are not directly comparable with remoteness data for previous years.</w:t>
            </w:r>
            <w:r>
              <w:br/>
            </w:r>
            <w:r>
              <w:rPr>
                <w:rStyle w:val="row-content-rich-text"/>
              </w:rPr>
              <w:t xml:space="preserve">Data for 2007 through to 2011 reported for SEIFA quintiles and deciles are reported using SEIFA 2006 at the Statistical Local Area (SLA) level.  Data for 2012 and 2013 are reported using SEIFA 2011 at the SA2 (NSW VIC, QLD, WA, SA TAS and NT) or SLA level (ACT).  The AIHW considers the change from SEIFA 2006 to SEIFA 2011 to be a series break when applied to data supplied for this indicator, therefore SEIFA data for 2012 and subsequent years are not directly comparable with SEIFA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1578ed66de4646">
              <w:r>
                <w:rPr>
                  <w:rStyle w:val="Hyperlink"/>
                </w:rPr>
                <w:t xml:space="preserve">National Healthcare Agreement: PI 01-Proportion of babies born with low birth weight, 2015 QS</w:t>
              </w:r>
            </w:hyperlink>
          </w:p>
          <w:p>
            <w:pPr>
              <w:pStyle w:val="registration-status"/>
              <w:spacing w:before="0" w:after="0"/>
            </w:pPr>
            <w:hyperlink w:history="true" r:id="R09af9cdbf6204d36">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d8b3417670cb4ba3">
              <w:r>
                <w:rPr>
                  <w:rStyle w:val="Hyperlink"/>
                </w:rPr>
                <w:t xml:space="preserve">National Healthcare Agreement: PI 01-Proportion of babies born with low birth weight, 2017, QS</w:t>
              </w:r>
            </w:hyperlink>
          </w:p>
          <w:p>
            <w:pPr>
              <w:pStyle w:val="registration-status"/>
              <w:spacing w:before="0" w:after="0"/>
            </w:pPr>
            <w:hyperlink w:history="true" r:id="R6820179151154cd6">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f5fef42e7fc40ab">
              <w:r>
                <w:rPr>
                  <w:rStyle w:val="Hyperlink"/>
                </w:rPr>
                <w:t xml:space="preserve">National Healthcare Agreement: PI 01–Proportion of babies born of low birth weight, 2016</w:t>
              </w:r>
            </w:hyperlink>
          </w:p>
          <w:p>
            <w:pPr>
              <w:pStyle w:val="registration-status"/>
              <w:spacing w:before="0" w:after="0"/>
            </w:pPr>
            <w:hyperlink w:history="true" r:id="R7d742977053a480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6844bac2a63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23849276b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44bac2a634aef" /><Relationship Type="http://schemas.openxmlformats.org/officeDocument/2006/relationships/header" Target="/word/header1.xml" Id="R816b5b9254944bfd" /><Relationship Type="http://schemas.openxmlformats.org/officeDocument/2006/relationships/settings" Target="/word/settings.xml" Id="R60c454c5f10c483c" /><Relationship Type="http://schemas.openxmlformats.org/officeDocument/2006/relationships/styles" Target="/word/styles.xml" Id="R7711660d4d3a47d5" /><Relationship Type="http://schemas.openxmlformats.org/officeDocument/2006/relationships/hyperlink" Target="https://meteor.aihw.gov.au/RegistrationAuthority/12" TargetMode="External" Id="R6a77305e27f3435d" /><Relationship Type="http://schemas.openxmlformats.org/officeDocument/2006/relationships/hyperlink" Target="https://meteor.aihw.gov.au/content/559142" TargetMode="External" Id="R2d1578ed66de4646" /><Relationship Type="http://schemas.openxmlformats.org/officeDocument/2006/relationships/hyperlink" Target="https://meteor.aihw.gov.au/RegistrationAuthority/12" TargetMode="External" Id="R09af9cdbf6204d36" /><Relationship Type="http://schemas.openxmlformats.org/officeDocument/2006/relationships/hyperlink" Target="https://meteor.aihw.gov.au/content/630365" TargetMode="External" Id="Rd8b3417670cb4ba3" /><Relationship Type="http://schemas.openxmlformats.org/officeDocument/2006/relationships/hyperlink" Target="https://meteor.aihw.gov.au/RegistrationAuthority/12" TargetMode="External" Id="R6820179151154cd6" /><Relationship Type="http://schemas.openxmlformats.org/officeDocument/2006/relationships/hyperlink" Target="https://meteor.aihw.gov.au/content/598847" TargetMode="External" Id="R3f5fef42e7fc40ab" /><Relationship Type="http://schemas.openxmlformats.org/officeDocument/2006/relationships/hyperlink" Target="https://meteor.aihw.gov.au/RegistrationAuthority/12" TargetMode="External" Id="R7d742977053a4806" /></Relationships>
</file>

<file path=word/_rels/header1.xml.rels>&#65279;<?xml version="1.0" encoding="utf-8"?><Relationships xmlns="http://schemas.openxmlformats.org/package/2006/relationships"><Relationship Type="http://schemas.openxmlformats.org/officeDocument/2006/relationships/image" Target="/media/image.png" Id="Rb7523849276b45d4" /></Relationships>
</file>