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1c48c5b7cd4f6b"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2013-14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0661570c04532">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AIHW by jurisdictions and are sourced from Community Housing Organisations (CHOs) via a survey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spacing w:after="160"/>
            </w:pPr>
            <w:r>
              <w:rPr>
                <w:rStyle w:val="row-content-rich-text"/>
              </w:rPr>
              <w:t xml:space="preserve"> </w:t>
            </w:r>
          </w:p>
          <w:p>
            <w:pPr>
              <w:pStyle w:val="ListParagraph"/>
              <w:numPr>
                <w:ilvl w:val="0"/>
                <w:numId w:val="2"/>
              </w:numPr>
            </w:pPr>
            <w:r>
              <w:rPr>
                <w:rStyle w:val="row-content-rich-text"/>
              </w:rPr>
              <w:t xml:space="preserve">All states and territories provide the Australian Institute of Health and Welfare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published in AIHW reports.</w:t>
            </w:r>
            <w:r>
              <w:br/>
            </w:r>
          </w:p>
          <w:p>
            <w:pPr>
              <w:pStyle w:val="ListParagraph"/>
              <w:numPr>
                <w:ilvl w:val="0"/>
                <w:numId w:val="2"/>
              </w:numPr>
            </w:pPr>
            <w:r>
              <w:rPr>
                <w:rStyle w:val="row-content-rich-text"/>
              </w:rPr>
              <w:t xml:space="preserve">Additionally, unit record community housing data are collected from Community housing organisations via a survey tool managed by the AIHW. </w:t>
            </w:r>
            <w:r>
              <w:rPr>
                <w:rStyle w:val="row-content-rich-text"/>
              </w:rPr>
              <w:t xml:space="preserve">Two jurisdictions (Qld and NT) do not use the AIHW-managed survey.</w:t>
            </w:r>
            <w:r>
              <w:br/>
            </w:r>
          </w:p>
          <w:p>
            <w:pPr>
              <w:pStyle w:val="ListParagraph"/>
              <w:numPr>
                <w:ilvl w:val="0"/>
                <w:numId w:val="2"/>
              </w:numPr>
            </w:pPr>
            <w:r>
              <w:rPr>
                <w:rStyle w:val="row-content-rich-text"/>
              </w:rPr>
              <w:t xml:space="preserve">National outputs and indicators are calculated using data from only those jurisdictions where complete information was available and valid.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96356cdc296403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3bda7a2a99545a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sets from each jurisdiction, to analyse these data sets and disseminate information and statistics.</w:t>
            </w:r>
          </w:p>
          <w:p>
            <w:pPr>
              <w:spacing w:after="160"/>
            </w:pPr>
            <w:r>
              <w:rPr>
                <w:rStyle w:val="row-content-rich-text"/>
              </w:rPr>
              <w:t xml:space="preserve">The </w:t>
            </w:r>
            <w:hyperlink w:history="true" r:id="Rc32165be7c5c4cd4">
              <w:r>
                <w:rPr>
                  <w:rStyle w:val="Hyperlink"/>
                  <w:i/>
                </w:rPr>
                <w:t xml:space="preserve">Australian Institute of Health and Welfare Act 1987</w:t>
              </w:r>
            </w:hyperlink>
            <w:r>
              <w:rPr>
                <w:rStyle w:val="row-content-rich-text"/>
              </w:rPr>
              <w:t xml:space="preserve">, in conjunction with compliance to the </w:t>
            </w:r>
            <w:hyperlink w:history="true" r:id="R75075d2d74a84c3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91fa962912c4177">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2013–14 financial year. The collection is mostly a 30 June 2014 snapshot, but also captures 2013–14 household activity. Limited financial information from the 2012–13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239b8521525b4565">
              <w:r>
                <w:rPr>
                  <w:rStyle w:val="Hyperlink"/>
                  <w:i/>
                </w:rPr>
                <w:t xml:space="preserve">Housing Assistance in Australia</w:t>
              </w:r>
            </w:hyperlink>
            <w:r>
              <w:rPr>
                <w:rStyle w:val="row-content-rich-text"/>
              </w:rPr>
              <w:t xml:space="preserve">, which is available publicly on the AIHW website and the </w:t>
            </w:r>
            <w:hyperlink w:history="true" r:id="R1c940e806fc84372">
              <w:r>
                <w:rPr>
                  <w:rStyle w:val="Hyperlink"/>
                  <w:i/>
                </w:rPr>
                <w:t xml:space="preserve">Report on Government Services 2015</w:t>
              </w:r>
            </w:hyperlink>
            <w:r>
              <w:rPr>
                <w:rStyle w:val="row-content-rich-text"/>
              </w:rPr>
              <w:t xml:space="preserve">.</w:t>
            </w:r>
          </w:p>
          <w:p>
            <w:r>
              <w:br/>
            </w:r>
            <w:r>
              <w:rPr>
                <w:rStyle w:val="row-content-rich-text"/>
              </w:rPr>
              <w:t xml:space="preserve">Users can request additional disaggregations of data which are not available online or in reports (subject to jurisdiction approval) via the AIHW’s online data request system at </w:t>
            </w:r>
            <w:hyperlink w:history="true" r:id="R0438f5a70cc545d0">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765e0a66afb24c20">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w:t>
            </w:r>
            <w:r>
              <w:br/>
            </w:r>
            <w:hyperlink w:history="true" r:id="R85988bd5ad5544cc">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7cf97f06fb5d4955">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under management of a community housing organisation (excluding Indigenous community housing organisations). Dwellings are excluded where the tenancy are managed by the State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 owned or managed by CHO’s.</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and the Northern Territory submit finalised aggregate data, which includes dwelling and organisational level data, but not information on individual tenancies or persons. Queensland provide aggregated household data for most indicators, while the Northern Territory does not provide any household data.</w:t>
            </w:r>
          </w:p>
          <w:p>
            <w:pPr/>
            <w:r>
              <w:rPr>
                <w:rStyle w:val="row-content-rich-text"/>
              </w:rPr>
              <w:t xml:space="preserve">The data are highly relevant for monitoring trends in the number of households assisted in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via a survey of community housing organisations conducted by state/territory housing authorities and/or from administrative records held by them. Data are incomplete for some jurisdictions due to non-reporting or under reporting by CHO’s. The response rate differs between jurisdictions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120 community housing organisations, 32 completed the survey tool accounting for 98% of the total dwelling portfolio.</w:t>
                  </w:r>
                </w:p>
              </w:tc>
            </w:tr>
            <w:tr>
              <w:trPr/>
              <w:tc>
                <w:tcPr>
                  <w:tcW w:w="1000" w:type="pct"/>
                  <w:vAlign w:val="top"/>
                </w:tcPr>
                <w:p>
                  <w:r>
                    <w:t xml:space="preserve">Victoria</w:t>
                  </w:r>
                </w:p>
              </w:tc>
              <w:tc>
                <w:tcPr>
                  <w:tcW w:w="4000" w:type="pct"/>
                  <w:vAlign w:val="top"/>
                </w:tcPr>
                <w:p>
                  <w:r>
                    <w:t xml:space="preserve">Of the 102 community housing organisations, 80 completed the survey tool accounting for 99% of the total dwelling portfolio.</w:t>
                  </w:r>
                </w:p>
              </w:tc>
            </w:tr>
            <w:tr>
              <w:trPr/>
              <w:tc>
                <w:tcPr>
                  <w:tcW w:w="1000" w:type="pct"/>
                  <w:vAlign w:val="top"/>
                </w:tcPr>
                <w:p>
                  <w:r>
                    <w:t xml:space="preserve">Queensland</w:t>
                  </w:r>
                </w:p>
              </w:tc>
              <w:tc>
                <w:tcPr>
                  <w:tcW w:w="4000" w:type="pct"/>
                  <w:vAlign w:val="top"/>
                </w:tcPr>
                <w:p>
                  <w:r>
                    <w:t xml:space="preserve">Of the 265 community housing organisations, administrative data was provided for 101, accounting for 70% of the total dwelling portfolio.</w:t>
                  </w:r>
                </w:p>
              </w:tc>
            </w:tr>
            <w:tr>
              <w:trPr/>
              <w:tc>
                <w:tcPr>
                  <w:tcW w:w="1000" w:type="pct"/>
                  <w:vAlign w:val="top"/>
                </w:tcPr>
                <w:p>
                  <w:r>
                    <w:t xml:space="preserve">Western Australia</w:t>
                  </w:r>
                </w:p>
              </w:tc>
              <w:tc>
                <w:tcPr>
                  <w:tcW w:w="4000" w:type="pct"/>
                  <w:vAlign w:val="top"/>
                </w:tcPr>
                <w:p>
                  <w:r>
                    <w:t xml:space="preserve">Of the 34 registered community housing organisations, 28 completed the survey tool accounting for 97% of the total dwelling portfolio.</w:t>
                  </w:r>
                </w:p>
              </w:tc>
            </w:tr>
            <w:tr>
              <w:trPr/>
              <w:tc>
                <w:tcPr>
                  <w:tcW w:w="1000" w:type="pct"/>
                  <w:vAlign w:val="top"/>
                </w:tcPr>
                <w:p>
                  <w:r>
                    <w:t xml:space="preserve">South Australia</w:t>
                  </w:r>
                </w:p>
              </w:tc>
              <w:tc>
                <w:tcPr>
                  <w:tcW w:w="4000" w:type="pct"/>
                  <w:vAlign w:val="top"/>
                </w:tcPr>
                <w:p>
                  <w:r>
                    <w:t xml:space="preserve">Of the 80 community housing organisations, 79 completed the survey tool accounting for 100% of the total dwelling portfolio.</w:t>
                  </w:r>
                </w:p>
              </w:tc>
            </w:tr>
            <w:tr>
              <w:trPr/>
              <w:tc>
                <w:tcPr>
                  <w:tcW w:w="1000" w:type="pct"/>
                  <w:vAlign w:val="top"/>
                </w:tcPr>
                <w:p>
                  <w:r>
                    <w:t xml:space="preserve">Tasmania</w:t>
                  </w:r>
                </w:p>
              </w:tc>
              <w:tc>
                <w:tcPr>
                  <w:tcW w:w="4000" w:type="pct"/>
                  <w:vAlign w:val="top"/>
                </w:tcPr>
                <w:p>
                  <w:r>
                    <w:t xml:space="preserve">Of the 72 community housing organisations, 43 completed the survey tool accounting for 100% of the total dwelling portfolio.</w:t>
                  </w:r>
                </w:p>
              </w:tc>
            </w:tr>
            <w:tr>
              <w:trPr/>
              <w:tc>
                <w:tcPr>
                  <w:tcW w:w="1000" w:type="pct"/>
                  <w:vAlign w:val="top"/>
                </w:tcPr>
                <w:p>
                  <w:r>
                    <w:t xml:space="preserve">Australian Capital Territory</w:t>
                  </w:r>
                </w:p>
              </w:tc>
              <w:tc>
                <w:tcPr>
                  <w:tcW w:w="4000" w:type="pct"/>
                  <w:vAlign w:val="top"/>
                </w:tcPr>
                <w:p>
                  <w:r>
                    <w:t xml:space="preserve">All of the 5 community housing organisations completed the survey tool accounting for 100% of the total dwelling portfolio.</w:t>
                  </w:r>
                </w:p>
              </w:tc>
            </w:tr>
            <w:tr>
              <w:trPr/>
              <w:tc>
                <w:tcPr>
                  <w:tcW w:w="1000" w:type="pct"/>
                  <w:vAlign w:val="top"/>
                </w:tcPr>
                <w:p>
                  <w:r>
                    <w:t xml:space="preserve"> </w:t>
                  </w:r>
                </w:p>
                <w:p>
                  <w:r>
                    <w:t xml:space="preserve">Northern Territory</w:t>
                  </w:r>
                </w:p>
              </w:tc>
              <w:tc>
                <w:tcPr>
                  <w:tcW w:w="4000" w:type="pct"/>
                  <w:vAlign w:val="top"/>
                </w:tcPr>
                <w:p>
                  <w:r>
                    <w:t xml:space="preserve">Did not survey its community housing sector but provided administrative data only for all 37 community housing organisations.</w:t>
                  </w:r>
                </w:p>
              </w:tc>
            </w:tr>
          </w:tbl>
          <w:p>
            <w:r>
              <w:t xml:space="preserve"> </w:t>
            </w:r>
          </w:p>
          <w:p>
            <w:r>
              <w:t xml:space="preserve">There are some accuracy issues with the data collected:</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 – data may not be collected and reported in a manner consistent with national data definitions;</w:t>
            </w:r>
          </w:p>
          <w:p>
            <w:pPr>
              <w:pStyle w:val="ListParagraph"/>
              <w:numPr>
                <w:ilvl w:val="0"/>
                <w:numId w:val="3"/>
              </w:numPr>
            </w:pPr>
            <w:r>
              <w:t xml:space="preserve">for some organisations, some information may be self-identified and not mandatory to report under program eligibility requirements e.g. Indigenous status and disability information;</w:t>
            </w:r>
          </w:p>
          <w:p>
            <w:pPr>
              <w:pStyle w:val="ListParagraph"/>
              <w:numPr>
                <w:ilvl w:val="0"/>
                <w:numId w:val="3"/>
              </w:numPr>
            </w:pPr>
            <w:r>
              <w:t xml:space="preserve">data for ‘tenancy rental units by remoteness’ may differ to data for ‘total tenancy rental units’ due to postcode information being unavailable for some tenancy rental units and data cleaning to treat for missing data;</w:t>
            </w:r>
          </w:p>
          <w:p>
            <w:pPr>
              <w:pStyle w:val="ListParagraph"/>
              <w:numPr>
                <w:ilvl w:val="0"/>
                <w:numId w:val="3"/>
              </w:numPr>
            </w:pPr>
            <w:r>
              <w:t xml:space="preserve">disaggregation can lead to small cell sizes which are volatile - very small cells are suppressed to protect confidentiality;</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was unavailable for New South Wales, Queensland, the Northern Territory, and the Australian Capital Territory; and</w:t>
            </w:r>
          </w:p>
          <w:p>
            <w:pPr>
              <w:pStyle w:val="ListParagraph"/>
              <w:numPr>
                <w:ilvl w:val="0"/>
                <w:numId w:val="3"/>
              </w:numPr>
            </w:pPr>
            <w:r>
              <w:t xml:space="preserve">waitlist data are reported separately for each social housing program. Where jurisdictions have an integrated waitlist (ACT, NSW, NT, Qld, WA,), applicants may be counted for each program for which they are applying. In some jurisdictions, CHO’s may additionally maintain and allocate housing to households on their own waiting list.</w:t>
            </w:r>
          </w:p>
          <w:p>
            <w:r>
              <w:t xml:space="preserve">Specific state/territory issues:</w:t>
            </w:r>
            <w:r>
              <w:rPr>
                <w:b/>
              </w:rPr>
              <w:t xml:space="preserve"> </w:t>
            </w:r>
          </w:p>
          <w:p>
            <w:r>
              <w:rPr>
                <w:b/>
              </w:rPr>
              <w:t xml:space="preserve">New South Wales</w:t>
            </w:r>
          </w:p>
          <w:p>
            <w:pPr>
              <w:pStyle w:val="ListParagraph"/>
              <w:numPr>
                <w:ilvl w:val="0"/>
                <w:numId w:val="4"/>
              </w:numPr>
            </w:pPr>
            <w:r>
              <w:rPr>
                <w:b/>
              </w:rPr>
              <w:t xml:space="preserve">Data from 2012-13 and earlier reporting periods may not be comparable due to a change in reporting methods. Previously an organisation aggregated unit record data and provided the aggregated figures to the State Housing Authority. From 2013-14 onwards, CHOs provide unit record data. Over time this will result in improved data quality, however, as 2013-14 is the first time under the new system, some data quality issues have arisen. These will be addressed during 2014-15. </w:t>
            </w:r>
          </w:p>
          <w:p>
            <w:r>
              <w:rPr>
                <w:b/>
              </w:rPr>
              <w:t xml:space="preserve">Victoria</w:t>
            </w:r>
          </w:p>
          <w:p>
            <w:pPr>
              <w:pStyle w:val="ListParagraph"/>
              <w:numPr>
                <w:ilvl w:val="0"/>
                <w:numId w:val="5"/>
              </w:numPr>
            </w:pPr>
            <w:r>
              <w:rPr>
                <w:b/>
              </w:rPr>
              <w:t xml:space="preserve">In 2013-14, there continues to be a large number of records with inconsistencies in the data reported by community housing organisations. The jurisdiction are working with organisations to identify and resolve these inconsistencies and improve data.</w:t>
            </w:r>
          </w:p>
          <w:p>
            <w:r>
              <w:rPr>
                <w:b/>
              </w:rPr>
              <w:t xml:space="preserve"> </w:t>
            </w:r>
            <w:r>
              <w:rPr>
                <w:b/>
              </w:rPr>
              <w:t xml:space="preserve">South Australia</w:t>
            </w:r>
          </w:p>
          <w:p>
            <w:r>
              <w:rPr>
                <w:b/>
              </w:rPr>
              <w:t xml:space="preserve">Updated accredited social housing management software has allowed organisations to separate out financial data that was previously reported together.  This has led to the improved collection of rent data.</w:t>
            </w:r>
          </w:p>
          <w:p>
            <w:r>
              <w:rPr>
                <w:b/>
              </w:rPr>
              <w:t xml:space="preserve">Tasmania</w:t>
            </w:r>
          </w:p>
          <w:p>
            <w:pPr>
              <w:pStyle w:val="ListParagraph"/>
              <w:numPr>
                <w:ilvl w:val="0"/>
                <w:numId w:val="7"/>
              </w:numPr>
            </w:pPr>
            <w:r>
              <w:rPr>
                <w:b/>
              </w:rPr>
              <w:t xml:space="preserve">Unit level data contained a large number of records with unknown responses which may affect the reliability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jurisdictions concerning incomplete or missing information, out-of-date information and coding errors can affect the coherence of the outputs</w:t>
            </w:r>
          </w:p>
          <w:p>
            <w:pPr>
              <w:spacing w:after="160"/>
            </w:pPr>
            <w:r>
              <w:rPr>
                <w:rStyle w:val="row-content-rich-text"/>
              </w:rPr>
              <w:t xml:space="preserve">There were changes in the methodology used from 2010–11 for collecting data on community housing waiting lists in all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and Tasmania uses a manual integrated system. In Victoria, community housing organisations may fill some vacancies using the public housing waiting list. Comparisons of waitlist data from years prior to 2010-11 should not be made with data from subsequent years due to the implementation of integrated waitlists with the potential for applicants to be counted in waitlist data across more than one social housing collection.</w:t>
            </w:r>
          </w:p>
          <w:p>
            <w:pPr>
              <w:spacing w:after="160"/>
            </w:pPr>
            <w:r>
              <w:rPr>
                <w:rStyle w:val="row-content-rich-text"/>
              </w:rPr>
              <w:t xml:space="preserve">Specific known State/Territory issues are:</w:t>
            </w:r>
            <w:r>
              <w:br/>
            </w:r>
            <w:r>
              <w:rPr>
                <w:rStyle w:val="row-content-rich-text"/>
                <w:b/>
              </w:rPr>
              <w:t xml:space="preserve"> </w:t>
            </w:r>
          </w:p>
          <w:p>
            <w:pPr>
              <w:spacing w:after="160"/>
            </w:pPr>
            <w:r>
              <w:rPr>
                <w:rStyle w:val="row-content-rich-text"/>
                <w:b/>
              </w:rPr>
              <w:t xml:space="preserve">Queensland</w:t>
            </w:r>
          </w:p>
          <w:p>
            <w:pPr>
              <w:spacing w:after="160"/>
            </w:pPr>
            <w:r>
              <w:rPr>
                <w:rStyle w:val="row-content-rich-text"/>
                <w:b/>
              </w:rPr>
              <w:t xml:space="preserve">Affordable Housing Program data has been included for the first time in 2013-14 data. These data were not available in prior years. As rent setting policies under this program are based on a discount to market, and not as a proportion of income, the inclusion of these data would tend to increase the proportion of income allocated to rent.</w:t>
            </w:r>
          </w:p>
          <w:p>
            <w:pPr>
              <w:spacing w:after="160"/>
            </w:pPr>
            <w:r>
              <w:rPr>
                <w:rStyle w:val="row-content-rich-text"/>
                <w:b/>
              </w:rPr>
              <w:t xml:space="preserve">Improvements have been made in the identification of households containing a member identifying as Indigenous, with a disability and/or from a non-English speaking background.</w:t>
            </w:r>
          </w:p>
          <w:p>
            <w:pPr>
              <w:spacing w:after="160"/>
            </w:pPr>
            <w:r>
              <w:rPr>
                <w:rStyle w:val="row-content-rich-text"/>
                <w:b/>
              </w:rPr>
              <w:t xml:space="preserve">From 2011-12, system improvements have led to better data capture for new tenancies resulting in improved coverage and data quality.</w:t>
            </w:r>
          </w:p>
          <w:p>
            <w:pPr>
              <w:spacing w:after="160"/>
            </w:pPr>
            <w:r>
              <w:rPr>
                <w:rStyle w:val="row-content-rich-text"/>
                <w:b/>
              </w:rPr>
              <w:t xml:space="preserve">South Australia</w:t>
            </w:r>
            <w:r>
              <w:br/>
            </w:r>
            <w:r>
              <w:rPr>
                <w:rStyle w:val="row-content-rich-text"/>
                <w:b/>
              </w:rPr>
              <w:t xml:space="preserve"> </w:t>
            </w:r>
          </w:p>
          <w:p>
            <w:pPr>
              <w:spacing w:after="160"/>
            </w:pPr>
            <w:r>
              <w:rPr>
                <w:rStyle w:val="row-content-rich-text"/>
                <w:b/>
              </w:rPr>
              <w:t xml:space="preserve">Improvement in reporting methods has led to increased data provision and decrease in missing data.</w:t>
            </w:r>
          </w:p>
          <w:p>
            <w:pPr>
              <w:spacing w:after="160"/>
            </w:pPr>
            <w:r>
              <w:rPr>
                <w:rStyle w:val="row-content-rich-text"/>
                <w:b/>
              </w:rPr>
              <w:t xml:space="preserve">In previous years the waitlist data was reported based solely on the Community Housing Customer Register. Applicants for NRAS properties were registered on a separate waitlist. Since 2012-13, wait list data has been reported together for applicants for community housing and applicants for NRAS housing. As NRAS housing rent setting policies are based on a discount to market, and not as a proportion of income (the norm for community housing), the inclusion of this data would tend to increase the proportion of income allocated to rent.</w:t>
            </w:r>
          </w:p>
          <w:p>
            <w:pPr>
              <w:spacing w:after="160"/>
            </w:pPr>
            <w:r>
              <w:rPr>
                <w:rStyle w:val="row-content-rich-text"/>
                <w:b/>
              </w:rPr>
              <w:t xml:space="preserve">Tasmania</w:t>
            </w:r>
          </w:p>
          <w:p>
            <w:pPr>
              <w:pStyle w:val="ListParagraph"/>
              <w:numPr>
                <w:ilvl w:val="0"/>
                <w:numId w:val="11"/>
              </w:numPr>
            </w:pPr>
            <w:r>
              <w:rPr>
                <w:rStyle w:val="row-content-rich-text"/>
                <w:b/>
              </w:rPr>
              <w:t xml:space="preserve">Tenancy management of 2,188 Public Housing and 34 SOMIH properties was transferred to the Community Housing sector, under the Better Housing Futures program in 2013-14. This has led to a doubling of in-scope dwellings.  This has increased the total tenancy rental units and affected related performance indicators. Due to relatively short transfer period before reporting, some data (particularly financial data) related to these transfers was not available. Indicators relying on such data that are reported as proportions may not have moved in line with the increase in tenancy rental units.   </w:t>
            </w:r>
          </w:p>
          <w:p>
            <w:pPr>
              <w:spacing w:after="160"/>
            </w:pPr>
            <w:r>
              <w:rPr>
                <w:rStyle w:val="row-content-rich-text"/>
                <w:b/>
              </w:rPr>
              <w:t xml:space="preserve">Northern Territory</w:t>
            </w:r>
          </w:p>
          <w:p>
            <w:pPr>
              <w:pStyle w:val="ListParagraph"/>
              <w:numPr>
                <w:ilvl w:val="0"/>
                <w:numId w:val="12"/>
              </w:numPr>
            </w:pPr>
            <w:r>
              <w:rPr>
                <w:rStyle w:val="row-content-rich-text"/>
                <w:b/>
              </w:rPr>
              <w:t xml:space="preserve">Changes to stock holdings have altered breakdowns of the total number of tenancy rental units by remoteness.</w:t>
            </w:r>
          </w:p>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359560562f4c8e">
              <w:r>
                <w:rPr>
                  <w:rStyle w:val="Hyperlink"/>
                </w:rPr>
                <w:t xml:space="preserve">Community housing data collection 2012–13 Data Quality Statement</w:t>
              </w:r>
            </w:hyperlink>
          </w:p>
          <w:p>
            <w:pPr>
              <w:spacing w:before="0" w:after="0"/>
            </w:pPr>
            <w:r>
              <w:rPr>
                <w:rStyle w:val="row-content"/>
                <w:color w:val="244061"/>
              </w:rPr>
              <w:t xml:space="preserve">       </w:t>
            </w:r>
            <w:hyperlink w:history="true" r:id="R01d918354b06410a">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acc56c8797af4321">
              <w:r>
                <w:rPr>
                  <w:rStyle w:val="Hyperlink"/>
                </w:rPr>
                <w:t xml:space="preserve">Community Housing Data Collection, 2014-15; Quality Statement</w:t>
              </w:r>
            </w:hyperlink>
          </w:p>
          <w:p>
            <w:pPr>
              <w:spacing w:before="0" w:after="0"/>
            </w:pPr>
            <w:r>
              <w:rPr>
                <w:rStyle w:val="row-content"/>
                <w:color w:val="244061"/>
              </w:rPr>
              <w:t xml:space="preserve">       </w:t>
            </w:r>
            <w:hyperlink w:history="true" r:id="Rdb2fe8c611704304">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ccdfbb840001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28b7e14ee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fbb84000144a3" /><Relationship Type="http://schemas.openxmlformats.org/officeDocument/2006/relationships/header" Target="/word/header1.xml" Id="R67dfde178be94607" /><Relationship Type="http://schemas.openxmlformats.org/officeDocument/2006/relationships/settings" Target="/word/settings.xml" Id="R1995e78293954b2e" /><Relationship Type="http://schemas.openxmlformats.org/officeDocument/2006/relationships/styles" Target="/word/styles.xml" Id="R172162032fa04361" /><Relationship Type="http://schemas.openxmlformats.org/officeDocument/2006/relationships/hyperlink" Target="https://meteor.aihw.gov.au/RegistrationAuthority/5" TargetMode="External" Id="Rea10661570c04532" /><Relationship Type="http://schemas.openxmlformats.org/officeDocument/2006/relationships/numbering" Target="/word/numbering.xml" Id="Rcd57c3b4d72747d7" /><Relationship Type="http://schemas.openxmlformats.org/officeDocument/2006/relationships/hyperlink" Target="http://www.comlaw.gov.au/Series/C2004A03450" TargetMode="External" Id="Rb96356cdc2964033" /><Relationship Type="http://schemas.openxmlformats.org/officeDocument/2006/relationships/hyperlink" Target="http://www.aihw.gov.au/aihw-board/" TargetMode="External" Id="R43bda7a2a99545a7" /><Relationship Type="http://schemas.openxmlformats.org/officeDocument/2006/relationships/hyperlink" Target="http://www.comlaw.gov.au/Series/C2004A03450" TargetMode="External" Id="Rc32165be7c5c4cd4" /><Relationship Type="http://schemas.openxmlformats.org/officeDocument/2006/relationships/hyperlink" Target="http://www.comlaw.gov.au/Details/C2011C00503" TargetMode="External" Id="R75075d2d74a84c39" /><Relationship Type="http://schemas.openxmlformats.org/officeDocument/2006/relationships/hyperlink" Target="http://www.aihw.gov.au" TargetMode="External" Id="R891fa962912c4177" /><Relationship Type="http://schemas.openxmlformats.org/officeDocument/2006/relationships/hyperlink" Target="https://meteor.aihw.gov.au/www.aihw.gov.au/housing-assistance/haa/2015/" TargetMode="External" Id="R239b8521525b4565" /><Relationship Type="http://schemas.openxmlformats.org/officeDocument/2006/relationships/hyperlink" Target="http://www.pc.gov.au/research/recurring/report-on-government-services/2015/housing-and-homelessness" TargetMode="External" Id="R1c940e806fc84372" /><Relationship Type="http://schemas.openxmlformats.org/officeDocument/2006/relationships/hyperlink" Target="https://datarequest.aihw.gov.au/_layouts/AdHocDataRequest/LodgeRequest.aspx/" TargetMode="External" Id="R0438f5a70cc545d0" /><Relationship Type="http://schemas.openxmlformats.org/officeDocument/2006/relationships/hyperlink" Target="mailto:info@aihw.gov.au" TargetMode="External" Id="R765e0a66afb24c20" /><Relationship Type="http://schemas.openxmlformats.org/officeDocument/2006/relationships/hyperlink" Target="http://www.aihw.gov.au/publication-detail/?id=60129543695." TargetMode="External" Id="R85988bd5ad5544cc" /><Relationship Type="http://schemas.openxmlformats.org/officeDocument/2006/relationships/hyperlink" Target="https://meteor.aihw.gov.au/content/487037" TargetMode="External" Id="R7cf97f06fb5d4955" /><Relationship Type="http://schemas.openxmlformats.org/officeDocument/2006/relationships/hyperlink" Target="https://meteor.aihw.gov.au/content/578512" TargetMode="External" Id="R29359560562f4c8e" /><Relationship Type="http://schemas.openxmlformats.org/officeDocument/2006/relationships/hyperlink" Target="https://meteor.aihw.gov.au/RegistrationAuthority/5" TargetMode="External" Id="R01d918354b06410a" /><Relationship Type="http://schemas.openxmlformats.org/officeDocument/2006/relationships/hyperlink" Target="https://meteor.aihw.gov.au/content/628264" TargetMode="External" Id="Racc56c8797af4321" /><Relationship Type="http://schemas.openxmlformats.org/officeDocument/2006/relationships/hyperlink" Target="https://meteor.aihw.gov.au/RegistrationAuthority/5" TargetMode="External" Id="Rdb2fe8c611704304" /></Relationships>
</file>

<file path=word/_rels/header1.xml.rels>&#65279;<?xml version="1.0" encoding="utf-8"?><Relationships xmlns="http://schemas.openxmlformats.org/package/2006/relationships"><Relationship Type="http://schemas.openxmlformats.org/officeDocument/2006/relationships/image" Target="/media/image.png" Id="Rbdb28b7e14ee43c3" /></Relationships>
</file>