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a1fcb40844963"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36160f9114712">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2015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Service level versions, which is an ongoing data development process. Despite the achievements to date, there remain gaps in the information available. Consequently, of the 15 Service level version indicators 13 have been operationalised for in this indicator set.</w:t>
            </w:r>
          </w:p>
          <w:p>
            <w:pPr>
              <w:spacing w:after="160"/>
            </w:pPr>
            <w:r>
              <w:rPr>
                <w:rStyle w:val="row-content-rich-text"/>
              </w:rPr>
              <w:t xml:space="preserve">The 2015 Jurisdictional level indicator versions reference a range of different dataset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Indicator number   </w:t>
                  </w:r>
                </w:p>
              </w:tc>
              <w:tc>
                <w:tcPr>
                  <w:tcW w:w="2700" w:type="pct"/>
                  <w:vAlign w:val="top"/>
                </w:tcPr>
                <w:p>
                  <w:r>
                    <w:t xml:space="preserve">Specified data set collection period</w:t>
                  </w:r>
                </w:p>
              </w:tc>
            </w:tr>
            <w:tr>
              <w:trPr/>
              <w:tc>
                <w:tcPr>
                  <w:tcW w:w="2250" w:type="pct"/>
                  <w:vAlign w:val="top"/>
                </w:tcPr>
                <w:p>
                  <w:r>
                    <w:t xml:space="preserve">PI 01J</w:t>
                  </w:r>
                </w:p>
              </w:tc>
              <w:tc>
                <w:tcPr>
                  <w:tcW w:w="2700" w:type="pct"/>
                  <w:vAlign w:val="top"/>
                </w:tcPr>
                <w:p>
                  <w:r>
                    <w:t xml:space="preserve">2013–14</w:t>
                  </w:r>
                </w:p>
              </w:tc>
            </w:tr>
            <w:tr>
              <w:trPr/>
              <w:tc>
                <w:tcPr>
                  <w:tcW w:w="2250" w:type="pct"/>
                  <w:vAlign w:val="top"/>
                </w:tcPr>
                <w:p>
                  <w:r>
                    <w:t xml:space="preserve">PI 02J</w:t>
                  </w:r>
                </w:p>
              </w:tc>
              <w:tc>
                <w:tcPr>
                  <w:tcW w:w="2700" w:type="pct"/>
                  <w:vAlign w:val="top"/>
                </w:tcPr>
                <w:p>
                  <w:r>
                    <w:t xml:space="preserve">2013–14</w:t>
                  </w:r>
                </w:p>
              </w:tc>
            </w:tr>
            <w:tr>
              <w:trPr/>
              <w:tc>
                <w:tcPr>
                  <w:tcW w:w="2250" w:type="pct"/>
                  <w:vAlign w:val="top"/>
                </w:tcPr>
                <w:p>
                  <w:r>
                    <w:t xml:space="preserve">PI 03J</w:t>
                  </w:r>
                </w:p>
              </w:tc>
              <w:tc>
                <w:tcPr>
                  <w:tcW w:w="2700" w:type="pct"/>
                  <w:vAlign w:val="top"/>
                </w:tcPr>
                <w:p>
                  <w:r>
                    <w:t xml:space="preserve">2012–13</w:t>
                  </w:r>
                </w:p>
              </w:tc>
            </w:tr>
            <w:tr>
              <w:trPr/>
              <w:tc>
                <w:tcPr>
                  <w:tcW w:w="2250" w:type="pct"/>
                  <w:vAlign w:val="top"/>
                </w:tcPr>
                <w:p>
                  <w:r>
                    <w:t xml:space="preserve">PI 04J</w:t>
                  </w:r>
                </w:p>
              </w:tc>
              <w:tc>
                <w:tcPr>
                  <w:tcW w:w="2700" w:type="pct"/>
                  <w:vAlign w:val="top"/>
                </w:tcPr>
                <w:p>
                  <w:r>
                    <w:t xml:space="preserve">2012–13</w:t>
                  </w:r>
                </w:p>
              </w:tc>
            </w:tr>
            <w:tr>
              <w:trPr/>
              <w:tc>
                <w:tcPr>
                  <w:tcW w:w="2250" w:type="pct"/>
                  <w:vAlign w:val="top"/>
                </w:tcPr>
                <w:p>
                  <w:r>
                    <w:t xml:space="preserve">PI 05J</w:t>
                  </w:r>
                </w:p>
              </w:tc>
              <w:tc>
                <w:tcPr>
                  <w:tcW w:w="2700" w:type="pct"/>
                  <w:vAlign w:val="top"/>
                </w:tcPr>
                <w:p>
                  <w:r>
                    <w:t xml:space="preserve">2012–13</w:t>
                  </w:r>
                </w:p>
              </w:tc>
            </w:tr>
            <w:tr>
              <w:trPr/>
              <w:tc>
                <w:tcPr>
                  <w:tcW w:w="2250" w:type="pct"/>
                  <w:vAlign w:val="top"/>
                </w:tcPr>
                <w:p>
                  <w:r>
                    <w:t xml:space="preserve">PI 06J</w:t>
                  </w:r>
                </w:p>
              </w:tc>
              <w:tc>
                <w:tcPr>
                  <w:tcW w:w="2700" w:type="pct"/>
                  <w:vAlign w:val="top"/>
                </w:tcPr>
                <w:p>
                  <w:r>
                    <w:t xml:space="preserve">2012–13</w:t>
                  </w:r>
                </w:p>
              </w:tc>
            </w:tr>
            <w:tr>
              <w:trPr/>
              <w:tc>
                <w:tcPr>
                  <w:tcW w:w="2250" w:type="pct"/>
                  <w:vAlign w:val="top"/>
                </w:tcPr>
                <w:p>
                  <w:r>
                    <w:t xml:space="preserve">PI 07J</w:t>
                  </w:r>
                </w:p>
              </w:tc>
              <w:tc>
                <w:tcPr>
                  <w:tcW w:w="2700" w:type="pct"/>
                  <w:vAlign w:val="top"/>
                </w:tcPr>
                <w:p>
                  <w:r>
                    <w:t xml:space="preserve">2012–13</w:t>
                  </w:r>
                </w:p>
              </w:tc>
            </w:tr>
            <w:tr>
              <w:trPr/>
              <w:tc>
                <w:tcPr>
                  <w:tcW w:w="2250" w:type="pct"/>
                  <w:vAlign w:val="top"/>
                </w:tcPr>
                <w:p>
                  <w:r>
                    <w:t xml:space="preserve">PI 08J</w:t>
                  </w:r>
                </w:p>
              </w:tc>
              <w:tc>
                <w:tcPr>
                  <w:tcW w:w="2700" w:type="pct"/>
                  <w:vAlign w:val="top"/>
                </w:tcPr>
                <w:p>
                  <w:r>
                    <w:t xml:space="preserve">2013–14</w:t>
                  </w:r>
                </w:p>
              </w:tc>
            </w:tr>
            <w:tr>
              <w:trPr/>
              <w:tc>
                <w:tcPr>
                  <w:tcW w:w="2250" w:type="pct"/>
                  <w:vAlign w:val="top"/>
                </w:tcPr>
                <w:p>
                  <w:r>
                    <w:t xml:space="preserve">PI 09J</w:t>
                  </w:r>
                </w:p>
              </w:tc>
              <w:tc>
                <w:tcPr>
                  <w:tcW w:w="2700" w:type="pct"/>
                  <w:vAlign w:val="top"/>
                </w:tcPr>
                <w:p>
                  <w:r>
                    <w:t xml:space="preserve">2013–14</w:t>
                  </w:r>
                </w:p>
              </w:tc>
            </w:tr>
            <w:tr>
              <w:trPr/>
              <w:tc>
                <w:tcPr>
                  <w:tcW w:w="2250" w:type="pct"/>
                  <w:vAlign w:val="top"/>
                </w:tcPr>
                <w:p>
                  <w:r>
                    <w:t xml:space="preserve">PI 10J</w:t>
                  </w:r>
                </w:p>
              </w:tc>
              <w:tc>
                <w:tcPr>
                  <w:tcW w:w="2700" w:type="pct"/>
                  <w:vAlign w:val="top"/>
                </w:tcPr>
                <w:p>
                  <w:r>
                    <w:t xml:space="preserve">. .</w:t>
                  </w:r>
                </w:p>
              </w:tc>
            </w:tr>
            <w:tr>
              <w:trPr/>
              <w:tc>
                <w:tcPr>
                  <w:tcW w:w="2250" w:type="pct"/>
                  <w:vAlign w:val="top"/>
                </w:tcPr>
                <w:p>
                  <w:r>
                    <w:t xml:space="preserve">PI 11J</w:t>
                  </w:r>
                </w:p>
              </w:tc>
              <w:tc>
                <w:tcPr>
                  <w:tcW w:w="2700" w:type="pct"/>
                  <w:vAlign w:val="top"/>
                </w:tcPr>
                <w:p>
                  <w:r>
                    <w:t xml:space="preserve">2013–14</w:t>
                  </w:r>
                </w:p>
              </w:tc>
            </w:tr>
            <w:tr>
              <w:trPr/>
              <w:tc>
                <w:tcPr>
                  <w:tcW w:w="2250" w:type="pct"/>
                  <w:vAlign w:val="top"/>
                </w:tcPr>
                <w:p>
                  <w:r>
                    <w:t xml:space="preserve">PI 12J</w:t>
                  </w:r>
                </w:p>
              </w:tc>
              <w:tc>
                <w:tcPr>
                  <w:tcW w:w="2700" w:type="pct"/>
                  <w:vAlign w:val="top"/>
                </w:tcPr>
                <w:p>
                  <w:r>
                    <w:t xml:space="preserve">2013–14</w:t>
                  </w:r>
                </w:p>
              </w:tc>
            </w:tr>
            <w:tr>
              <w:trPr/>
              <w:tc>
                <w:tcPr>
                  <w:tcW w:w="2250" w:type="pct"/>
                  <w:vAlign w:val="top"/>
                </w:tcPr>
                <w:p>
                  <w:r>
                    <w:t xml:space="preserve">PI 13J</w:t>
                  </w:r>
                </w:p>
              </w:tc>
              <w:tc>
                <w:tcPr>
                  <w:tcW w:w="2700" w:type="pct"/>
                  <w:vAlign w:val="top"/>
                </w:tcPr>
                <w:p>
                  <w:r>
                    <w:t xml:space="preserve">. .</w:t>
                  </w:r>
                </w:p>
              </w:tc>
            </w:tr>
            <w:tr>
              <w:trPr/>
              <w:tc>
                <w:tcPr>
                  <w:tcW w:w="2250" w:type="pct"/>
                  <w:vAlign w:val="top"/>
                </w:tcPr>
                <w:p>
                  <w:r>
                    <w:t xml:space="preserve">PI 14J</w:t>
                  </w:r>
                </w:p>
              </w:tc>
              <w:tc>
                <w:tcPr>
                  <w:tcW w:w="2700" w:type="pct"/>
                  <w:vAlign w:val="top"/>
                </w:tcPr>
                <w:p>
                  <w:r>
                    <w:t xml:space="preserve">2013–14</w:t>
                  </w:r>
                </w:p>
              </w:tc>
            </w:tr>
            <w:tr>
              <w:trPr/>
              <w:tc>
                <w:tcPr>
                  <w:tcW w:w="2250" w:type="pct"/>
                  <w:vAlign w:val="top"/>
                </w:tcPr>
                <w:p>
                  <w:r>
                    <w:t xml:space="preserve">PI 15J</w:t>
                  </w:r>
                </w:p>
              </w:tc>
              <w:tc>
                <w:tcPr>
                  <w:tcW w:w="2700" w:type="pct"/>
                  <w:vAlign w:val="top"/>
                </w:tcPr>
                <w:p>
                  <w:r>
                    <w:t xml:space="preserve">2014–15</w:t>
                  </w:r>
                </w:p>
              </w:tc>
            </w:tr>
          </w:tbl>
          <w:p>
            <w:r>
              <w:t xml:space="preserve"> </w:t>
            </w:r>
          </w:p>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5c2e408b9e4be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1a4ac3a777a94cb8">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8a41ac3668d4439e">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7847459de5c04d16">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44dd57167f4677">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46b2fe67ae7f4553">
              <w:r>
                <w:rPr>
                  <w:rStyle w:val="Hyperlink"/>
                  <w:color w:val="244061"/>
                </w:rPr>
                <w:t xml:space="preserve">Health</w:t>
              </w:r>
            </w:hyperlink>
            <w:r>
              <w:rPr>
                <w:rStyle w:val="row-content"/>
                <w:color w:val="244061"/>
              </w:rPr>
              <w:t xml:space="preserve">, Superseded 11/05/2016</w:t>
            </w:r>
          </w:p>
          <w:p>
            <w:r>
              <w:br/>
            </w:r>
            <w:hyperlink w:history="true" r:id="R08578e4a30234557">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86ab77c79f074507">
              <w:r>
                <w:rPr>
                  <w:rStyle w:val="Hyperlink"/>
                  <w:color w:val="244061"/>
                </w:rPr>
                <w:t xml:space="preserve">Health</w:t>
              </w:r>
            </w:hyperlink>
            <w:r>
              <w:rPr>
                <w:rStyle w:val="row-content"/>
                <w:color w:val="244061"/>
              </w:rPr>
              <w:t xml:space="preserve">, Superseded 11/05/2016</w:t>
            </w:r>
          </w:p>
          <w:p>
            <w:r>
              <w:br/>
            </w:r>
            <w:hyperlink w:history="true" r:id="R472761f2653a45ac">
              <w:r>
                <w:rPr>
                  <w:rStyle w:val="Hyperlink"/>
                </w:rPr>
                <w:t xml:space="preserve">KPIs for Australian Public Mental Health Services: PI 03J – National Service Standards compliance, 2015</w:t>
              </w:r>
            </w:hyperlink>
          </w:p>
          <w:p>
            <w:pPr>
              <w:spacing w:before="0" w:after="0"/>
            </w:pPr>
            <w:r>
              <w:rPr>
                <w:rStyle w:val="row-content"/>
                <w:color w:val="244061"/>
              </w:rPr>
              <w:t xml:space="preserve">       </w:t>
            </w:r>
            <w:hyperlink w:history="true" r:id="R88d3e1f527a64a7c">
              <w:r>
                <w:rPr>
                  <w:rStyle w:val="Hyperlink"/>
                  <w:color w:val="244061"/>
                </w:rPr>
                <w:t xml:space="preserve">Health</w:t>
              </w:r>
            </w:hyperlink>
            <w:r>
              <w:rPr>
                <w:rStyle w:val="row-content"/>
                <w:color w:val="244061"/>
              </w:rPr>
              <w:t xml:space="preserve">, Superseded 11/05/2016</w:t>
            </w:r>
          </w:p>
          <w:p>
            <w:r>
              <w:br/>
            </w:r>
            <w:hyperlink w:history="true" r:id="Rb2afe8d2566a4840">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1ebfa350d4844427">
              <w:r>
                <w:rPr>
                  <w:rStyle w:val="Hyperlink"/>
                  <w:color w:val="244061"/>
                </w:rPr>
                <w:t xml:space="preserve">Health</w:t>
              </w:r>
            </w:hyperlink>
            <w:r>
              <w:rPr>
                <w:rStyle w:val="row-content"/>
                <w:color w:val="244061"/>
              </w:rPr>
              <w:t xml:space="preserve">, Superseded 11/05/2016</w:t>
            </w:r>
          </w:p>
          <w:p>
            <w:r>
              <w:br/>
            </w:r>
            <w:hyperlink w:history="true" r:id="R7ecae89587874c48">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27add7b988cc49d4">
              <w:r>
                <w:rPr>
                  <w:rStyle w:val="Hyperlink"/>
                  <w:color w:val="244061"/>
                </w:rPr>
                <w:t xml:space="preserve">Health</w:t>
              </w:r>
            </w:hyperlink>
            <w:r>
              <w:rPr>
                <w:rStyle w:val="row-content"/>
                <w:color w:val="244061"/>
              </w:rPr>
              <w:t xml:space="preserve">, Superseded 11/05/2016</w:t>
            </w:r>
          </w:p>
          <w:p>
            <w:r>
              <w:br/>
            </w:r>
            <w:hyperlink w:history="true" r:id="R13bcd5a6080f4450">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055c8dbdf4d7401f">
              <w:r>
                <w:rPr>
                  <w:rStyle w:val="Hyperlink"/>
                  <w:color w:val="244061"/>
                </w:rPr>
                <w:t xml:space="preserve">Health</w:t>
              </w:r>
            </w:hyperlink>
            <w:r>
              <w:rPr>
                <w:rStyle w:val="row-content"/>
                <w:color w:val="244061"/>
              </w:rPr>
              <w:t xml:space="preserve">, Superseded 11/05/2016</w:t>
            </w:r>
          </w:p>
          <w:p>
            <w:r>
              <w:br/>
            </w:r>
            <w:hyperlink w:history="true" r:id="Rbedc424290564579">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5a82c6406aea4a66">
              <w:r>
                <w:rPr>
                  <w:rStyle w:val="Hyperlink"/>
                  <w:color w:val="244061"/>
                </w:rPr>
                <w:t xml:space="preserve">Health</w:t>
              </w:r>
            </w:hyperlink>
            <w:r>
              <w:rPr>
                <w:rStyle w:val="row-content"/>
                <w:color w:val="244061"/>
              </w:rPr>
              <w:t xml:space="preserve">, Superseded 11/05/2016</w:t>
            </w:r>
          </w:p>
          <w:p>
            <w:r>
              <w:br/>
            </w:r>
            <w:hyperlink w:history="true" r:id="R5d66a931b091451e">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fec36c3c5a22433b">
              <w:r>
                <w:rPr>
                  <w:rStyle w:val="Hyperlink"/>
                  <w:color w:val="244061"/>
                </w:rPr>
                <w:t xml:space="preserve">Health</w:t>
              </w:r>
            </w:hyperlink>
            <w:r>
              <w:rPr>
                <w:rStyle w:val="row-content"/>
                <w:color w:val="244061"/>
              </w:rPr>
              <w:t xml:space="preserve">, Superseded 11/05/2016</w:t>
            </w:r>
          </w:p>
          <w:p>
            <w:r>
              <w:br/>
            </w:r>
            <w:hyperlink w:history="true" r:id="Rf6bff6a73fe24bfe">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f242bb502bc145e2">
              <w:r>
                <w:rPr>
                  <w:rStyle w:val="Hyperlink"/>
                  <w:color w:val="244061"/>
                </w:rPr>
                <w:t xml:space="preserve">Health</w:t>
              </w:r>
            </w:hyperlink>
            <w:r>
              <w:rPr>
                <w:rStyle w:val="row-content"/>
                <w:color w:val="244061"/>
              </w:rPr>
              <w:t xml:space="preserve">, Superseded 11/05/2016</w:t>
            </w:r>
          </w:p>
          <w:p>
            <w:r>
              <w:br/>
            </w:r>
            <w:hyperlink w:history="true" r:id="Re5e9a0e2e9d947b1">
              <w:r>
                <w:rPr>
                  <w:rStyle w:val="Hyperlink"/>
                </w:rPr>
                <w:t xml:space="preserve">KPIs for Australian Public Mental Health Services: PI 11J – Rate of pre-admission community care, 2015</w:t>
              </w:r>
            </w:hyperlink>
          </w:p>
          <w:p>
            <w:pPr>
              <w:spacing w:before="0" w:after="0"/>
            </w:pPr>
            <w:r>
              <w:rPr>
                <w:rStyle w:val="row-content"/>
                <w:color w:val="244061"/>
              </w:rPr>
              <w:t xml:space="preserve">       </w:t>
            </w:r>
            <w:hyperlink w:history="true" r:id="R775ab5a40af04423">
              <w:r>
                <w:rPr>
                  <w:rStyle w:val="Hyperlink"/>
                  <w:color w:val="244061"/>
                </w:rPr>
                <w:t xml:space="preserve">Health</w:t>
              </w:r>
            </w:hyperlink>
            <w:r>
              <w:rPr>
                <w:rStyle w:val="row-content"/>
                <w:color w:val="244061"/>
              </w:rPr>
              <w:t xml:space="preserve">, Superseded 11/05/2016</w:t>
            </w:r>
          </w:p>
          <w:p>
            <w:r>
              <w:br/>
            </w:r>
            <w:hyperlink w:history="true" r:id="Rc1a58f5cfc474098">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9b225912409f49d4">
              <w:r>
                <w:rPr>
                  <w:rStyle w:val="Hyperlink"/>
                  <w:color w:val="244061"/>
                </w:rPr>
                <w:t xml:space="preserve">Health</w:t>
              </w:r>
            </w:hyperlink>
            <w:r>
              <w:rPr>
                <w:rStyle w:val="row-content"/>
                <w:color w:val="244061"/>
              </w:rPr>
              <w:t xml:space="preserve">, Superseded 11/05/2016</w:t>
            </w:r>
          </w:p>
          <w:p>
            <w:r>
              <w:br/>
            </w:r>
            <w:hyperlink w:history="true" r:id="R4198830437274a45">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8f61ad9032d64a84">
              <w:r>
                <w:rPr>
                  <w:rStyle w:val="Hyperlink"/>
                  <w:color w:val="244061"/>
                </w:rPr>
                <w:t xml:space="preserve">Health</w:t>
              </w:r>
            </w:hyperlink>
            <w:r>
              <w:rPr>
                <w:rStyle w:val="row-content"/>
                <w:color w:val="244061"/>
              </w:rPr>
              <w:t xml:space="preserve">, Superseded 11/05/2016</w:t>
            </w:r>
          </w:p>
          <w:p>
            <w:r>
              <w:br/>
            </w:r>
            <w:hyperlink w:history="true" r:id="R7abc118a70de4700">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67fc752848fd4465">
              <w:r>
                <w:rPr>
                  <w:rStyle w:val="Hyperlink"/>
                  <w:color w:val="244061"/>
                </w:rPr>
                <w:t xml:space="preserve">Health</w:t>
              </w:r>
            </w:hyperlink>
            <w:r>
              <w:rPr>
                <w:rStyle w:val="row-content"/>
                <w:color w:val="244061"/>
              </w:rPr>
              <w:t xml:space="preserve">, Superseded 11/05/2016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Collection Classification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the Mental Health Seclusion and Restraint 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3c3d40d8cf9402e">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efcb964ce354fba">
              <w:r>
                <w:rPr>
                  <w:rStyle w:val="Hyperlink"/>
                  <w:b/>
                </w:rPr>
                <w:t xml:space="preserve">Ambulatory mental health care services</w:t>
              </w:r>
            </w:hyperlink>
          </w:p>
          <w:p>
            <w:hyperlink w:tooltip="Episodes of community mental health care that are 14 days or less between first and last service contact date." w:history="true" r:id="Re01ca182d7544d6f">
              <w:r>
                <w:rPr>
                  <w:rStyle w:val="Hyperlink"/>
                  <w:b/>
                </w:rPr>
                <w:t xml:space="preserve">Brief ambulatory episodes of mental health care</w:t>
              </w:r>
            </w:hyperlink>
          </w:p>
          <w:p>
            <w:hyperlink w:tooltip="Episodes of mental health care provided to a consumer who is admitted for a period of three days or less." w:history="true" r:id="R681847508bf84a23">
              <w:r>
                <w:rPr>
                  <w:rStyle w:val="Hyperlink"/>
                  <w:b/>
                </w:rPr>
                <w:t xml:space="preserve">Brief inpatient episodes of mental health care</w:t>
              </w:r>
            </w:hyperlink>
          </w:p>
          <w:p>
            <w:hyperlink w:history="true" r:id="R37599605a54a4e41">
              <w:r>
                <w:rPr>
                  <w:rStyle w:val="Hyperlink"/>
                </w:rPr>
                <w:t xml:space="preserve">Community mental health care treatment days</w:t>
              </w:r>
            </w:hyperlink>
          </w:p>
          <w:p>
            <w:hyperlink w:history="true" r:id="Rfe7bbadc802e4e85">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f521bef261a4025">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886487a99e4b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Specifications are adapted from the Key Performance Indicators for Australian Public Mental Health Services, Third edition (2013).</w:t>
            </w:r>
          </w:p>
        </w:tc>
      </w:tr>
    </w:tbl>
    <w:p>
      <w:r>
        <w:br/>
      </w:r>
    </w:p>
    <w:sectPr>
      <w:footerReference xmlns:r="http://schemas.openxmlformats.org/officeDocument/2006/relationships" w:type="default" r:id="R52a276c06c36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b06d80328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276c06c364e5f" /><Relationship Type="http://schemas.openxmlformats.org/officeDocument/2006/relationships/header" Target="/word/header1.xml" Id="Rbfe000ab8ff44eda" /><Relationship Type="http://schemas.openxmlformats.org/officeDocument/2006/relationships/settings" Target="/word/settings.xml" Id="R70f47a5545924d28" /><Relationship Type="http://schemas.openxmlformats.org/officeDocument/2006/relationships/styles" Target="/word/styles.xml" Id="R0c3501255f37481a" /><Relationship Type="http://schemas.openxmlformats.org/officeDocument/2006/relationships/hyperlink" Target="https://meteor.aihw.gov.au/RegistrationAuthority/12" TargetMode="External" Id="R3f536160f9114712" /><Relationship Type="http://schemas.openxmlformats.org/officeDocument/2006/relationships/hyperlink" Target="https://meteor.aihw.gov.au/content/630262" TargetMode="External" Id="R955c2e408b9e4bec" /><Relationship Type="http://schemas.openxmlformats.org/officeDocument/2006/relationships/hyperlink" Target="https://meteor.aihw.gov.au/RegistrationAuthority/12" TargetMode="External" Id="R1a4ac3a777a94cb8" /><Relationship Type="http://schemas.openxmlformats.org/officeDocument/2006/relationships/hyperlink" Target="https://meteor.aihw.gov.au/content/583974" TargetMode="External" Id="R8a41ac3668d4439e" /><Relationship Type="http://schemas.openxmlformats.org/officeDocument/2006/relationships/hyperlink" Target="https://meteor.aihw.gov.au/RegistrationAuthority/12" TargetMode="External" Id="R7847459de5c04d16" /><Relationship Type="http://schemas.openxmlformats.org/officeDocument/2006/relationships/hyperlink" Target="https://meteor.aihw.gov.au/content/584821" TargetMode="External" Id="R3f44dd57167f4677" /><Relationship Type="http://schemas.openxmlformats.org/officeDocument/2006/relationships/hyperlink" Target="https://meteor.aihw.gov.au/RegistrationAuthority/12" TargetMode="External" Id="R46b2fe67ae7f4553" /><Relationship Type="http://schemas.openxmlformats.org/officeDocument/2006/relationships/hyperlink" Target="https://meteor.aihw.gov.au/content/585913" TargetMode="External" Id="R08578e4a30234557" /><Relationship Type="http://schemas.openxmlformats.org/officeDocument/2006/relationships/hyperlink" Target="https://meteor.aihw.gov.au/RegistrationAuthority/12" TargetMode="External" Id="R86ab77c79f074507" /><Relationship Type="http://schemas.openxmlformats.org/officeDocument/2006/relationships/hyperlink" Target="https://meteor.aihw.gov.au/content/583786" TargetMode="External" Id="R472761f2653a45ac" /><Relationship Type="http://schemas.openxmlformats.org/officeDocument/2006/relationships/hyperlink" Target="https://meteor.aihw.gov.au/RegistrationAuthority/12" TargetMode="External" Id="R88d3e1f527a64a7c" /><Relationship Type="http://schemas.openxmlformats.org/officeDocument/2006/relationships/hyperlink" Target="https://meteor.aihw.gov.au/content/584306" TargetMode="External" Id="Rb2afe8d2566a4840" /><Relationship Type="http://schemas.openxmlformats.org/officeDocument/2006/relationships/hyperlink" Target="https://meteor.aihw.gov.au/RegistrationAuthority/12" TargetMode="External" Id="R1ebfa350d4844427" /><Relationship Type="http://schemas.openxmlformats.org/officeDocument/2006/relationships/hyperlink" Target="https://meteor.aihw.gov.au/content/597092" TargetMode="External" Id="R7ecae89587874c48" /><Relationship Type="http://schemas.openxmlformats.org/officeDocument/2006/relationships/hyperlink" Target="https://meteor.aihw.gov.au/RegistrationAuthority/12" TargetMode="External" Id="R27add7b988cc49d4" /><Relationship Type="http://schemas.openxmlformats.org/officeDocument/2006/relationships/hyperlink" Target="https://meteor.aihw.gov.au/content/597095" TargetMode="External" Id="R13bcd5a6080f4450" /><Relationship Type="http://schemas.openxmlformats.org/officeDocument/2006/relationships/hyperlink" Target="https://meteor.aihw.gov.au/RegistrationAuthority/12" TargetMode="External" Id="R055c8dbdf4d7401f" /><Relationship Type="http://schemas.openxmlformats.org/officeDocument/2006/relationships/hyperlink" Target="https://meteor.aihw.gov.au/content/597098" TargetMode="External" Id="Rbedc424290564579" /><Relationship Type="http://schemas.openxmlformats.org/officeDocument/2006/relationships/hyperlink" Target="https://meteor.aihw.gov.au/RegistrationAuthority/12" TargetMode="External" Id="R5a82c6406aea4a66" /><Relationship Type="http://schemas.openxmlformats.org/officeDocument/2006/relationships/hyperlink" Target="https://meteor.aihw.gov.au/content/584375" TargetMode="External" Id="R5d66a931b091451e" /><Relationship Type="http://schemas.openxmlformats.org/officeDocument/2006/relationships/hyperlink" Target="https://meteor.aihw.gov.au/RegistrationAuthority/12" TargetMode="External" Id="Rfec36c3c5a22433b" /><Relationship Type="http://schemas.openxmlformats.org/officeDocument/2006/relationships/hyperlink" Target="https://meteor.aihw.gov.au/content/596969" TargetMode="External" Id="Rf6bff6a73fe24bfe" /><Relationship Type="http://schemas.openxmlformats.org/officeDocument/2006/relationships/hyperlink" Target="https://meteor.aihw.gov.au/RegistrationAuthority/12" TargetMode="External" Id="Rf242bb502bc145e2" /><Relationship Type="http://schemas.openxmlformats.org/officeDocument/2006/relationships/hyperlink" Target="https://meteor.aihw.gov.au/content/596972" TargetMode="External" Id="Re5e9a0e2e9d947b1" /><Relationship Type="http://schemas.openxmlformats.org/officeDocument/2006/relationships/hyperlink" Target="https://meteor.aihw.gov.au/RegistrationAuthority/12" TargetMode="External" Id="R775ab5a40af04423" /><Relationship Type="http://schemas.openxmlformats.org/officeDocument/2006/relationships/hyperlink" Target="https://meteor.aihw.gov.au/content/596977" TargetMode="External" Id="Rc1a58f5cfc474098" /><Relationship Type="http://schemas.openxmlformats.org/officeDocument/2006/relationships/hyperlink" Target="https://meteor.aihw.gov.au/RegistrationAuthority/12" TargetMode="External" Id="R9b225912409f49d4" /><Relationship Type="http://schemas.openxmlformats.org/officeDocument/2006/relationships/hyperlink" Target="https://meteor.aihw.gov.au/content/597117" TargetMode="External" Id="R4198830437274a45" /><Relationship Type="http://schemas.openxmlformats.org/officeDocument/2006/relationships/hyperlink" Target="https://meteor.aihw.gov.au/RegistrationAuthority/12" TargetMode="External" Id="R8f61ad9032d64a84" /><Relationship Type="http://schemas.openxmlformats.org/officeDocument/2006/relationships/hyperlink" Target="https://meteor.aihw.gov.au/content/596858" TargetMode="External" Id="R7abc118a70de4700" /><Relationship Type="http://schemas.openxmlformats.org/officeDocument/2006/relationships/hyperlink" Target="https://meteor.aihw.gov.au/RegistrationAuthority/12" TargetMode="External" Id="R67fc752848fd4465" /><Relationship Type="http://schemas.openxmlformats.org/officeDocument/2006/relationships/hyperlink" Target="https://meteor.aihw.gov.au/content/409067" TargetMode="External" Id="R631e0004a0214383" /><Relationship Type="http://schemas.openxmlformats.org/officeDocument/2006/relationships/hyperlink" Target="https://meteor.aihw.gov.au/content/409067" TargetMode="External" Id="R93c3d40d8cf9402e" /><Relationship Type="http://schemas.openxmlformats.org/officeDocument/2006/relationships/hyperlink" Target="https://meteor.aihw.gov.au/content/409081" TargetMode="External" Id="R5f23384e3c314fd6" /><Relationship Type="http://schemas.openxmlformats.org/officeDocument/2006/relationships/hyperlink" Target="https://meteor.aihw.gov.au/content/409081" TargetMode="External" Id="Rdefcb964ce354fba" /><Relationship Type="http://schemas.openxmlformats.org/officeDocument/2006/relationships/hyperlink" Target="https://meteor.aihw.gov.au/content/605545" TargetMode="External" Id="R1a2c914020624596" /><Relationship Type="http://schemas.openxmlformats.org/officeDocument/2006/relationships/hyperlink" Target="https://meteor.aihw.gov.au/content/605545" TargetMode="External" Id="Re01ca182d7544d6f" /><Relationship Type="http://schemas.openxmlformats.org/officeDocument/2006/relationships/hyperlink" Target="https://meteor.aihw.gov.au/content/605550" TargetMode="External" Id="R967eb189fc8d46cf" /><Relationship Type="http://schemas.openxmlformats.org/officeDocument/2006/relationships/hyperlink" Target="https://meteor.aihw.gov.au/content/605550" TargetMode="External" Id="R681847508bf84a23" /><Relationship Type="http://schemas.openxmlformats.org/officeDocument/2006/relationships/hyperlink" Target="https://meteor.aihw.gov.au/content/605790" TargetMode="External" Id="R37599605a54a4e41" /><Relationship Type="http://schemas.openxmlformats.org/officeDocument/2006/relationships/hyperlink" Target="https://meteor.aihw.gov.au/content/268978" TargetMode="External" Id="Rfe7bbadc802e4e85" /><Relationship Type="http://schemas.openxmlformats.org/officeDocument/2006/relationships/hyperlink" Target="https://meteor.aihw.gov.au/content/327268" TargetMode="External" Id="Re296480470864e39" /><Relationship Type="http://schemas.openxmlformats.org/officeDocument/2006/relationships/hyperlink" Target="https://meteor.aihw.gov.au/content/327268" TargetMode="External" Id="R0f521bef261a4025" /><Relationship Type="http://schemas.openxmlformats.org/officeDocument/2006/relationships/hyperlink" Target="https://meteor.aihw.gov.au/content/246013" TargetMode="External" Id="Rc6886487a99e4ba3" /></Relationships>
</file>

<file path=word/_rels/header1.xml.rels>&#65279;<?xml version="1.0" encoding="utf-8"?><Relationships xmlns="http://schemas.openxmlformats.org/package/2006/relationships"><Relationship Type="http://schemas.openxmlformats.org/officeDocument/2006/relationships/image" Target="/media/image.png" Id="R80fb06d803284903" /></Relationships>
</file>