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48ddb25ac54bc7"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12J – Rate of post-discharge community care,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12J – Rate of post-discharge community care,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12J: Rate of post-discharge community care,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8c6ea18e6642da">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history="true" r:id="R61ba6cec3dc94458">
              <w:r>
                <w:rPr>
                  <w:rStyle w:val="Hyperlink"/>
                </w:rPr>
                <w:t xml:space="preserve">separations</w:t>
              </w:r>
            </w:hyperlink>
            <w:r>
              <w:rPr>
                <w:rStyle w:val="row-content-rich-text"/>
              </w:rPr>
              <w:t xml:space="preserve"> from state/territory public acute admitted mental health care service unit(s) for which a community mental health service contact, in which the consumer participated, was recorded in the seven days following that separation.</w:t>
            </w:r>
          </w:p>
          <w:p>
            <w:pPr/>
            <w:r>
              <w:rPr>
                <w:rStyle w:val="row-content-rich-text"/>
                <w:b/>
              </w:rPr>
              <w:t xml:space="preserve">NOTE:</w:t>
            </w:r>
            <w:r>
              <w:rPr>
                <w:rStyle w:val="row-content-rich-text"/>
              </w:rPr>
              <w:t xml:space="preserve"> This specification is adapted from the indicator </w:t>
            </w:r>
            <w:hyperlink w:history="true" r:id="R82a13f5bb9f54988">
              <w:r>
                <w:rPr>
                  <w:rStyle w:val="Hyperlink"/>
                </w:rPr>
                <w:t xml:space="preserve">MHS PI 12: Rate of post-discharge community care,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responsive community support system for persons who have experienced an acute psychiatric episode requiring hospitalisation is essential to maintain clinical and functional stability and to minimise the need for hospital readmission.</w:t>
            </w:r>
          </w:p>
          <w:p>
            <w:pPr>
              <w:pStyle w:val="ListParagraph"/>
              <w:numPr>
                <w:ilvl w:val="0"/>
                <w:numId w:val="2"/>
              </w:numPr>
            </w:pPr>
            <w:r>
              <w:rPr>
                <w:rStyle w:val="row-content-rich-text"/>
              </w:rPr>
              <w:t xml:space="preserve">Consumers leaving hospital after a psychiatric admission with a formal discharge plan, involving linkages with community services and supports, are less likely to need early readmission. </w:t>
            </w:r>
          </w:p>
          <w:p>
            <w:pPr>
              <w:pStyle w:val="ListParagraph"/>
              <w:numPr>
                <w:ilvl w:val="0"/>
                <w:numId w:val="2"/>
              </w:numPr>
            </w:pPr>
            <w:r>
              <w:rPr>
                <w:rStyle w:val="row-content-rich-text"/>
              </w:rPr>
              <w:t xml:space="preserve">Research indicates that consumers have increased vulnerability immediately following discharge, including higher risk for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9da70f7055b4a72">
              <w:r>
                <w:rPr>
                  <w:rStyle w:val="Hyperlink"/>
                </w:rPr>
                <w:t xml:space="preserve">Key Performance Indicators for Australian Public Mental Health Services (Jurisdictional level version) (2015)</w:t>
              </w:r>
            </w:hyperlink>
          </w:p>
          <w:p>
            <w:pPr>
              <w:spacing w:before="0" w:after="0"/>
            </w:pPr>
            <w:r>
              <w:rPr>
                <w:rStyle w:val="row-content"/>
                <w:color w:val="244061"/>
              </w:rPr>
              <w:t xml:space="preserve">       </w:t>
            </w:r>
            <w:hyperlink w:history="true" r:id="R835fce33a9fe42e2">
              <w:r>
                <w:rPr>
                  <w:rStyle w:val="Hyperlink"/>
                  <w:color w:val="244061"/>
                </w:rPr>
                <w:t xml:space="preserve">Health</w:t>
              </w:r>
            </w:hyperlink>
            <w:r>
              <w:rPr>
                <w:rStyle w:val="row-content"/>
                <w:color w:val="244061"/>
              </w:rPr>
              <w:t xml:space="preserve">, Superseded 11/05/2016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(admissions data).</w:t>
            </w:r>
          </w:p>
          <w:p>
            <w:pPr>
              <w:spacing w:after="160"/>
            </w:pPr>
            <w:r>
              <w:rPr>
                <w:rStyle w:val="row-content-rich-text"/>
              </w:rPr>
              <w:t xml:space="preserve">State/territory specialised community mental health care service unit(s) in scope for reporting as defined by the Community Mental Health Care National Minimum Data Set (pre-admission community contact data).</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 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hospital</w:t>
            </w:r>
          </w:p>
          <w:p>
            <w:pPr>
              <w:pStyle w:val="ListParagraph"/>
              <w:numPr>
                <w:ilvl w:val="0"/>
                <w:numId w:val="3"/>
              </w:numPr>
            </w:pPr>
            <w:r>
              <w:rPr>
                <w:rStyle w:val="row-content-rich-text"/>
              </w:rPr>
              <w:t xml:space="preserve">Separations that end by death, left against medical advice/discharge at own risk</w:t>
            </w:r>
          </w:p>
          <w:p>
            <w:pPr>
              <w:pStyle w:val="ListParagraph"/>
              <w:numPr>
                <w:ilvl w:val="0"/>
                <w:numId w:val="3"/>
              </w:numPr>
            </w:pPr>
            <w:r>
              <w:rPr>
                <w:rStyle w:val="row-content-rich-text"/>
              </w:rPr>
              <w:t xml:space="preserve">Separations where length of stay is one night only and procedure code for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 The following community mental health service contacts are excluded:</w:t>
            </w:r>
          </w:p>
          <w:p>
            <w:pPr>
              <w:pStyle w:val="ListParagraph"/>
              <w:numPr>
                <w:ilvl w:val="0"/>
                <w:numId w:val="4"/>
              </w:numPr>
            </w:pPr>
            <w:r>
              <w:rPr>
                <w:rStyle w:val="row-content-rich-text"/>
              </w:rPr>
              <w:t xml:space="preserve">Mental health service contacts on the day of separation;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Methodology:</w:t>
            </w:r>
          </w:p>
          <w:p>
            <w:pPr>
              <w:spacing w:after="160"/>
            </w:pPr>
            <w:r>
              <w:rPr>
                <w:rStyle w:val="row-content-rich-text"/>
              </w:rPr>
              <w:t xml:space="preserve">Reference period for 2015 performance reporting: 2013–14</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One of the following ECT procedure codes are recorded:</w:t>
            </w:r>
            <w:r>
              <w:br/>
            </w:r>
            <w:r>
              <w:rPr>
                <w:rStyle w:val="row-content-rich-text"/>
              </w:rPr>
              <w:t xml:space="preserve">        • ACHI 5th edition (2006–2008) use procedure codes 93340-02 and 93340-43.</w:t>
            </w:r>
            <w:r>
              <w:br/>
            </w:r>
            <w:r>
              <w:rPr>
                <w:rStyle w:val="row-content-rich-text"/>
              </w:rPr>
              <w:t xml:space="preserve">        • ACHI 6th and 7th editions (2008 to current) use procedure codes 93341-00 to 93341-99.</w:t>
            </w:r>
            <w:r>
              <w:br/>
            </w:r>
            <w:r>
              <w:rPr>
                <w:rStyle w:val="row-content-rich-text"/>
              </w:rPr>
              <w:t xml:space="preserve">        • ACHI 5th, 6th and 7th editions (2006 to current) Electroconvulsive therapy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results for the seven day follow-up indicator will be achieved depending on whether the indicator is based on organisation-level or state-level analysis. The key difference between the two approaches concerns whether seven day post discharge follow-up is regarded to have occurred only when the person is seen by the discharging organisation, or by any public sector community mental health service within the jurisdiction. For the purpose of this indicator, the preferred approach is for state-level analysis to be used, and for contacts provided by any public sector community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for which a community mental health service contact, in which the consumer participated, was recorded in the seven days immediately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which there was a community mental health service contact recorded 7 days following a separation</w:t>
            </w:r>
          </w:p>
          <w:p>
            <w:r>
              <w:rPr>
                <w:rStyle w:val="row-content"/>
                <w:b/>
              </w:rPr>
              <w:t xml:space="preserve">Data Sources</w:t>
            </w:r>
          </w:p>
          <w:p>
            <w:hyperlink w:history="true" r:id="Re1f776b4dd2c445c">
              <w:r>
                <w:rPr>
                  <w:rStyle w:val="Hyperlink"/>
                </w:rPr>
                <w:t xml:space="preserve">State/territory community mental health care data</w:t>
              </w:r>
            </w:hyperlink>
          </w:p>
          <w:p>
            <w:hyperlink w:history="true" r:id="Rd4423d80b11542f9">
              <w:r>
                <w:rPr>
                  <w:rStyle w:val="Hyperlink"/>
                </w:rPr>
                <w:t xml:space="preserve">State/territory admitted patient data</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w:t>
            </w:r>
          </w:p>
          <w:p>
            <w:r>
              <w:rPr>
                <w:rStyle w:val="row-content"/>
                <w:b/>
              </w:rPr>
              <w:t xml:space="preserve">Data Source</w:t>
            </w:r>
          </w:p>
          <w:p>
            <w:hyperlink w:history="true" r:id="R67f9a218029a4fda">
              <w:r>
                <w:rPr>
                  <w:rStyle w:val="Hyperlink"/>
                </w:rPr>
                <w:t xml:space="preserve">State/territory admitted patient data</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SEIFA decile, remoteness area, Indigenous status. Disaggregated data excludes missing or not reported data.</w:t>
            </w:r>
          </w:p>
          <w:p>
            <w:pPr/>
            <w:r>
              <w:rPr>
                <w:rStyle w:val="row-content-rich-text"/>
              </w:rPr>
              <w:t xml:space="preserve">All disaggregation data are to be calculated as at admission to the admitted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Address—statistical area level 2 (SA2) code</w:t>
            </w:r>
          </w:p>
          <w:p>
            <w:r>
              <w:rPr>
                <w:rStyle w:val="row-content"/>
                <w:b/>
              </w:rPr>
              <w:t xml:space="preserve">Data Source</w:t>
            </w:r>
          </w:p>
          <w:p>
            <w:hyperlink w:history="true" r:id="R66bd6b0a15c44a28">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0e1df69501814c22">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6ba27f5d09c54805">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6857a508b7784f1d">
              <w:r>
                <w:rPr>
                  <w:rStyle w:val="Hyperlink"/>
                </w:rPr>
                <w:t xml:space="preserve">State/territory admitted patient data</w:t>
              </w:r>
            </w:hyperlink>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ed88da0e793482e">
              <w:r>
                <w:rPr>
                  <w:rStyle w:val="Hyperlink"/>
                </w:rPr>
                <w:t xml:space="preserve">Continuous</w:t>
              </w:r>
            </w:hyperlink>
            <w:r>
              <w:br/>
            </w:r>
            <w:r>
              <w:br/>
            </w:r>
            <w:hyperlink w:history="true" r:id="Rd5abd2094beb49d4">
              <w:r>
                <w:rPr>
                  <w:rStyle w:val="Hyperlink"/>
                </w:rPr>
                <w:t xml:space="preserve">Accessible</w:t>
              </w:r>
            </w:hyperlink>
            <w:r>
              <w:br/>
            </w:r>
            <w:r>
              <w:br/>
            </w:r>
          </w:p>
          <w:p>
            <w:hyperlink w:history="true" r:id="Rff045f0852554d7c">
              <w:r>
                <w:rPr>
                  <w:rStyle w:val="Hyperlink"/>
                </w:rPr>
                <w:t xml:space="preserve">Safe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Mental Health Care and Community Mental Health Care National Minimum Data Sets because they do not share a common unique identifier to allow persons admitted into hospital to be tracked in the community services data. Additionally, states and territories vary in the extent to which state-wide unique identifiers are in place to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r>
              <w:rPr>
                <w:rStyle w:val="row-content-rich-text"/>
              </w:rPr>
              <w:t xml:space="preserve">Development of a system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discharges the consumer from hospital care. Access to state-wide data is required to construct this indicator accurately.</w:t>
            </w:r>
            <w:r>
              <w:br/>
            </w:r>
          </w:p>
          <w:p>
            <w:pPr>
              <w:pStyle w:val="ListParagraph"/>
              <w:numPr>
                <w:ilvl w:val="0"/>
                <w:numId w:val="6"/>
              </w:numPr>
            </w:pPr>
            <w:r>
              <w:rPr>
                <w:rStyle w:val="row-content-rich-text"/>
              </w:rPr>
              <w:t xml:space="preserve">This measure does not consider variations in intensity or frequency of service contacts following discharge from hospital.</w:t>
            </w:r>
          </w:p>
          <w:p>
            <w:pPr>
              <w:pStyle w:val="ListParagraph"/>
              <w:numPr>
                <w:ilvl w:val="0"/>
                <w:numId w:val="6"/>
              </w:numPr>
            </w:pPr>
            <w:r>
              <w:rPr>
                <w:rStyle w:val="row-content-rich-text"/>
              </w:rPr>
              <w:t xml:space="preserve">This measure does not distinguish qualitative differences between phone and face-to-face community contacts.</w:t>
            </w:r>
            <w:r>
              <w:br/>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144808850c146f6">
              <w:r>
                <w:rPr>
                  <w:rStyle w:val="Hyperlink"/>
                </w:rPr>
                <w:t xml:space="preserve">KPIs for Australian Public Mental Health Services: PI 12J – Rate of post-discharge community care, 2016</w:t>
              </w:r>
            </w:hyperlink>
          </w:p>
          <w:p>
            <w:pPr>
              <w:spacing w:before="0" w:after="0"/>
            </w:pPr>
            <w:r>
              <w:rPr>
                <w:rStyle w:val="row-content"/>
                <w:color w:val="244061"/>
              </w:rPr>
              <w:t xml:space="preserve">       </w:t>
            </w:r>
            <w:hyperlink w:history="true" r:id="Rdbb44830011b4462">
              <w:r>
                <w:rPr>
                  <w:rStyle w:val="Hyperlink"/>
                  <w:color w:val="244061"/>
                </w:rPr>
                <w:t xml:space="preserve">Health</w:t>
              </w:r>
            </w:hyperlink>
            <w:r>
              <w:rPr>
                <w:rStyle w:val="row-content"/>
                <w:color w:val="244061"/>
              </w:rPr>
              <w:t xml:space="preserve">, Superseded 14/06/2017</w:t>
            </w:r>
          </w:p>
          <w:p>
            <w:r>
              <w:br/>
            </w:r>
            <w:r>
              <w:rPr>
                <w:rStyle w:val="row-content"/>
              </w:rPr>
              <w:t xml:space="preserve">See also </w:t>
            </w:r>
            <w:hyperlink w:history="true" r:id="R87655582cce34b59">
              <w:r>
                <w:rPr>
                  <w:rStyle w:val="Hyperlink"/>
                </w:rPr>
                <w:t xml:space="preserve">Mental health service contact—patient/client participation indicator, yes/no code N</w:t>
              </w:r>
            </w:hyperlink>
          </w:p>
          <w:p>
            <w:pPr>
              <w:spacing w:before="0" w:after="0"/>
            </w:pPr>
            <w:r>
              <w:rPr>
                <w:rStyle w:val="row-content"/>
                <w:color w:val="244061"/>
              </w:rPr>
              <w:t xml:space="preserve">       </w:t>
            </w:r>
            <w:hyperlink w:history="true" r:id="R23cb3c3716ad4e77">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09b04e4f66784e57">
              <w:r>
                <w:rPr>
                  <w:rStyle w:val="Hyperlink"/>
                </w:rPr>
                <w:t xml:space="preserve">Specialised mental health service—admitted patient care program type, code N</w:t>
              </w:r>
            </w:hyperlink>
          </w:p>
          <w:p>
            <w:pPr>
              <w:spacing w:before="0" w:after="0"/>
            </w:pPr>
            <w:r>
              <w:rPr>
                <w:rStyle w:val="row-content"/>
                <w:color w:val="244061"/>
              </w:rPr>
              <w:t xml:space="preserve">       </w:t>
            </w:r>
            <w:hyperlink w:history="true" r:id="Rdc5ff004fb1449e7">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25dccacc46f14a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596977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a48fbcdadb4e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dccacc46f14a89" /><Relationship Type="http://schemas.openxmlformats.org/officeDocument/2006/relationships/header" Target="/word/header1.xml" Id="Rec7a7c6c695748d0" /><Relationship Type="http://schemas.openxmlformats.org/officeDocument/2006/relationships/settings" Target="/word/settings.xml" Id="Rc1cb4dc7a0354f24" /><Relationship Type="http://schemas.openxmlformats.org/officeDocument/2006/relationships/styles" Target="/word/styles.xml" Id="R25f61de0587d4c40" /><Relationship Type="http://schemas.openxmlformats.org/officeDocument/2006/relationships/hyperlink" Target="https://meteor.aihw.gov.au/RegistrationAuthority/12" TargetMode="External" Id="Rda8c6ea18e6642da" /><Relationship Type="http://schemas.openxmlformats.org/officeDocument/2006/relationships/hyperlink" Target="https://meteor.aihw.gov.au/content/327268" TargetMode="External" Id="R61ba6cec3dc94458" /><Relationship Type="http://schemas.openxmlformats.org/officeDocument/2006/relationships/hyperlink" Target="https://meteor.aihw.gov.au/content/584238" TargetMode="External" Id="R82a13f5bb9f54988" /><Relationship Type="http://schemas.openxmlformats.org/officeDocument/2006/relationships/numbering" Target="/word/numbering.xml" Id="Rc077b6d814a44d45" /><Relationship Type="http://schemas.openxmlformats.org/officeDocument/2006/relationships/hyperlink" Target="https://meteor.aihw.gov.au/content/598178" TargetMode="External" Id="Rd9da70f7055b4a72" /><Relationship Type="http://schemas.openxmlformats.org/officeDocument/2006/relationships/hyperlink" Target="https://meteor.aihw.gov.au/RegistrationAuthority/12" TargetMode="External" Id="R835fce33a9fe42e2" /><Relationship Type="http://schemas.openxmlformats.org/officeDocument/2006/relationships/hyperlink" Target="https://meteor.aihw.gov.au/content/402135" TargetMode="External" Id="Re1f776b4dd2c445c" /><Relationship Type="http://schemas.openxmlformats.org/officeDocument/2006/relationships/hyperlink" Target="https://meteor.aihw.gov.au/content/426458" TargetMode="External" Id="Rd4423d80b11542f9" /><Relationship Type="http://schemas.openxmlformats.org/officeDocument/2006/relationships/hyperlink" Target="https://meteor.aihw.gov.au/content/426458" TargetMode="External" Id="R67f9a218029a4fda" /><Relationship Type="http://schemas.openxmlformats.org/officeDocument/2006/relationships/hyperlink" Target="https://meteor.aihw.gov.au/content/426458" TargetMode="External" Id="R66bd6b0a15c44a28" /><Relationship Type="http://schemas.openxmlformats.org/officeDocument/2006/relationships/hyperlink" Target="https://meteor.aihw.gov.au/content/426458" TargetMode="External" Id="R0e1df69501814c22" /><Relationship Type="http://schemas.openxmlformats.org/officeDocument/2006/relationships/hyperlink" Target="https://meteor.aihw.gov.au/content/426458" TargetMode="External" Id="R6ba27f5d09c54805" /><Relationship Type="http://schemas.openxmlformats.org/officeDocument/2006/relationships/hyperlink" Target="https://meteor.aihw.gov.au/content/426458" TargetMode="External" Id="R6857a508b7784f1d" /><Relationship Type="http://schemas.openxmlformats.org/officeDocument/2006/relationships/hyperlink" Target="https://meteor.aihw.gov.au/content/584864" TargetMode="External" Id="R3ed88da0e793482e" /><Relationship Type="http://schemas.openxmlformats.org/officeDocument/2006/relationships/hyperlink" Target="https://meteor.aihw.gov.au/content/584868" TargetMode="External" Id="Rd5abd2094beb49d4" /><Relationship Type="http://schemas.openxmlformats.org/officeDocument/2006/relationships/hyperlink" Target="https://meteor.aihw.gov.au/content/584866" TargetMode="External" Id="Rff045f0852554d7c" /><Relationship Type="http://schemas.openxmlformats.org/officeDocument/2006/relationships/hyperlink" Target="https://meteor.aihw.gov.au/content/630392" TargetMode="External" Id="R7144808850c146f6" /><Relationship Type="http://schemas.openxmlformats.org/officeDocument/2006/relationships/hyperlink" Target="https://meteor.aihw.gov.au/RegistrationAuthority/12" TargetMode="External" Id="Rdbb44830011b4462" /><Relationship Type="http://schemas.openxmlformats.org/officeDocument/2006/relationships/hyperlink" Target="https://meteor.aihw.gov.au/content/286859" TargetMode="External" Id="R87655582cce34b59" /><Relationship Type="http://schemas.openxmlformats.org/officeDocument/2006/relationships/hyperlink" Target="https://meteor.aihw.gov.au/RegistrationAuthority/12" TargetMode="External" Id="R23cb3c3716ad4e77" /><Relationship Type="http://schemas.openxmlformats.org/officeDocument/2006/relationships/hyperlink" Target="https://meteor.aihw.gov.au/content/288889" TargetMode="External" Id="R09b04e4f66784e57" /><Relationship Type="http://schemas.openxmlformats.org/officeDocument/2006/relationships/hyperlink" Target="https://meteor.aihw.gov.au/RegistrationAuthority/12" TargetMode="External" Id="Rdc5ff004fb1449e7" /></Relationships>
</file>

<file path=word/_rels/header1.xml.rels>&#65279;<?xml version="1.0" encoding="utf-8"?><Relationships xmlns="http://schemas.openxmlformats.org/package/2006/relationships"><Relationship Type="http://schemas.openxmlformats.org/officeDocument/2006/relationships/image" Target="/media/image.png" Id="R7ca48fbcdadb4e17" /></Relationships>
</file>