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85f38069e7746c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11J – Rate of pre-admission community care,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11J – Rate of pre-admission community care,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11J: Rate of pre-admission community care,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02c4fd6e254105">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28c46057022b49dc">
              <w:r>
                <w:rPr>
                  <w:rStyle w:val="Hyperlink"/>
                </w:rPr>
                <w:t xml:space="preserve">admissions</w:t>
              </w:r>
            </w:hyperlink>
            <w:r>
              <w:rPr>
                <w:rStyle w:val="row-content-rich-text"/>
              </w:rPr>
              <w:t xml:space="preserve"> to state/territory public acute admitted patient mental health care service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specification has been adapted from the indicator </w:t>
            </w:r>
            <w:hyperlink w:history="true" r:id="R850a9e85f1954aa7">
              <w:r>
                <w:rPr>
                  <w:rStyle w:val="Hyperlink"/>
                </w:rPr>
                <w:t xml:space="preserve">MHS PI 11: Rate of pre-admission community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state/territory public acute admitted patient mental health care service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40055c02e54acc">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1d7fc3c6b0a74f96">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 in scope for reporting as defined by the Mental Health Establishments National Minimum Data Set (admissions data).</w:t>
            </w:r>
          </w:p>
          <w:p>
            <w:pPr>
              <w:spacing w:after="160"/>
            </w:pPr>
            <w:r>
              <w:rPr>
                <w:rStyle w:val="row-content-rich-text"/>
              </w:rPr>
              <w:t xml:space="preserve">State/territory specialised community mental health care service unit(s) in scope for reporting as defined by the Community Mental Health Care National Minimum Data Set (pre-admission community contact data).</w:t>
            </w:r>
          </w:p>
          <w:p>
            <w:pPr>
              <w:spacing w:after="160"/>
            </w:pPr>
            <w:r>
              <w:rPr>
                <w:rStyle w:val="row-content-rich-text"/>
              </w:rPr>
              <w:t xml:space="preserve">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a residential mental health care service;</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mental health service contacts are excluded:</w:t>
            </w:r>
          </w:p>
          <w:p>
            <w:pPr>
              <w:pStyle w:val="ListParagraph"/>
              <w:numPr>
                <w:ilvl w:val="0"/>
                <w:numId w:val="4"/>
              </w:numPr>
            </w:pPr>
            <w:r>
              <w:rPr>
                <w:rStyle w:val="row-content-rich-text"/>
              </w:rPr>
              <w:t xml:space="preserve">Service contacts on the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Service contacts can be provided by any community mental health care service within the state/territory.</w:t>
            </w:r>
          </w:p>
          <w:p>
            <w:pPr>
              <w:spacing w:after="160"/>
            </w:pPr>
            <w:r>
              <w:rPr>
                <w:rStyle w:val="row-content-rich-text"/>
              </w:rPr>
              <w:t xml:space="preserve">Methodology:</w:t>
            </w:r>
          </w:p>
          <w:p>
            <w:pPr>
              <w:spacing w:after="160"/>
            </w:pPr>
            <w:r>
              <w:rPr>
                <w:rStyle w:val="row-content-rich-text"/>
              </w:rPr>
              <w:t xml:space="preserve">Reference period for 2015 performance reporting: 2013–14</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specialised mental health admitted patient service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procedure codes 93340-02 and 93340-43.</w:t>
            </w:r>
            <w:r>
              <w:br/>
            </w:r>
            <w:r>
              <w:rPr>
                <w:rStyle w:val="row-content-rich-text"/>
              </w:rPr>
              <w:t xml:space="preserve">        • ACHI 6th and 7th editions (2008 to current) use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Different results for the seven day pre-admission community care indictor will be achieved depending on whether the indicator is based on organisation-level or state-level analysis. The key difference between the two approaches concerns whether pre-admission community care is regarded to have occurred only when the person is seen by the discharging organisation, or by any public mental health service within the jurisdiction. The preferred approach is for state-level analysis to be used, and for contacts provided by any public mental health service to be counted. This will depend however, on the capacity of jurisdictions to track service use across multiple service organisation providers and will not be possible for all jurisdictions, the details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for which a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 in which there was a community mental health service contact recorded 7 days preceding an admission</w:t>
            </w:r>
          </w:p>
          <w:p>
            <w:r>
              <w:rPr>
                <w:rStyle w:val="row-content"/>
                <w:b/>
              </w:rPr>
              <w:t xml:space="preserve">Data Sources</w:t>
            </w:r>
          </w:p>
          <w:p>
            <w:hyperlink w:history="true" r:id="R5b64588de8c54da7">
              <w:r>
                <w:rPr>
                  <w:rStyle w:val="Hyperlink"/>
                </w:rPr>
                <w:t xml:space="preserve">State/territory community mental health care data </w:t>
              </w:r>
            </w:hyperlink>
          </w:p>
          <w:p>
            <w:hyperlink w:history="true" r:id="R63d9ef8560cb46cb">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w:t>
            </w:r>
          </w:p>
          <w:p>
            <w:hyperlink w:history="true" r:id="R70e47a9478384189">
              <w:r>
                <w:rPr>
                  <w:rStyle w:val="Hyperlink"/>
                </w:rPr>
                <w:t xml:space="preserve">State/territory admitted patient data</w:t>
              </w:r>
            </w:hyperlink>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SEIFA, remoteness, Indigenous status</w:t>
            </w:r>
          </w:p>
          <w:p>
            <w:pPr>
              <w:spacing w:after="160"/>
            </w:pPr>
            <w:r>
              <w:rPr>
                <w:rStyle w:val="row-content-rich-text"/>
              </w:rPr>
              <w:t xml:space="preserve">Disaggregated data excludes missing or not reported data.</w:t>
            </w:r>
          </w:p>
          <w:p>
            <w:pPr/>
            <w:r>
              <w:rPr>
                <w:rStyle w:val="row-content-rich-text"/>
              </w:rPr>
              <w:t xml:space="preserve">All disaggregation data are to be calculated as at admission to the admitted mental health care service unit, even if the value is null.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2 (SA2) code</w:t>
            </w:r>
          </w:p>
          <w:p>
            <w:r>
              <w:rPr>
                <w:rStyle w:val="row-content"/>
                <w:b/>
              </w:rPr>
              <w:t xml:space="preserve">Da</w:t>
            </w:r>
            <w:r>
              <w:rPr>
                <w:rStyle w:val="row-content"/>
                <w:b/>
              </w:rPr>
              <w:t xml:space="preserve">ta Source</w:t>
            </w:r>
          </w:p>
          <w:p>
            <w:hyperlink w:history="true" r:id="R7b7af7a16e1647d2">
              <w:r>
                <w:rPr>
                  <w:rStyle w:val="Hyperlink"/>
                </w:rPr>
                <w:t xml:space="preserve">State/territory admitted patient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9e4e24a4c91645de">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4c86ec44328c4ea9">
              <w:r>
                <w:rPr>
                  <w:rStyle w:val="Hyperlink"/>
                </w:rPr>
                <w:t xml:space="preserve">State/territory admitted patient data</w:t>
              </w:r>
            </w:hyperlink>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d4b3cfe9354d4b3d">
              <w:r>
                <w:rPr>
                  <w:rStyle w:val="Hyperlink"/>
                </w:rPr>
                <w:t xml:space="preserve">State/territory admitted patient data </w:t>
              </w:r>
            </w:hyperlink>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78e42359a94671">
              <w:r>
                <w:rPr>
                  <w:rStyle w:val="Hyperlink"/>
                </w:rPr>
                <w:t xml:space="preserve">Continuous</w:t>
              </w:r>
            </w:hyperlink>
            <w:r>
              <w:br/>
            </w:r>
            <w:r>
              <w:br/>
            </w:r>
          </w:p>
          <w:p>
            <w:hyperlink w:history="true" r:id="R3cf10ef1afd44488">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Mental Health Care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Development of a system of state-wide unique patient identifiers within all mental health NMDSs is needed to improve this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r>
              <w:br/>
            </w:r>
          </w:p>
          <w:p>
            <w:pPr>
              <w:pStyle w:val="ListParagraph"/>
              <w:numPr>
                <w:ilvl w:val="0"/>
                <w:numId w:val="6"/>
              </w:numPr>
            </w:pPr>
            <w:r>
              <w:rPr>
                <w:rStyle w:val="row-content-rich-text"/>
              </w:rPr>
              <w:t xml:space="preserve">This measure does not consider variations in intensity or frequency of contacts prior to admission to hospital.</w:t>
            </w:r>
            <w:r>
              <w:br/>
            </w:r>
          </w:p>
          <w:p>
            <w:pPr>
              <w:pStyle w:val="ListParagraph"/>
              <w:numPr>
                <w:ilvl w:val="0"/>
                <w:numId w:val="6"/>
              </w:numPr>
            </w:pPr>
            <w:r>
              <w:rPr>
                <w:rStyle w:val="row-content-rich-text"/>
              </w:rPr>
              <w:t xml:space="preserve">This measure does not distinguish qualitative differences between phone and face‐to‐face community contacts.</w:t>
            </w:r>
            <w:r>
              <w:br/>
            </w:r>
          </w:p>
          <w:p>
            <w:pPr/>
            <w:r>
              <w:rPr>
                <w:rStyle w:val="row-content-rich-text"/>
              </w:rPr>
              <w:t xml:space="preserve">When data for this indicator are requested jurisdictions are required to answer 'yes' or 'no' to the question "seven day pre-admission contact based on tracking pre-admission service contacts across all state/territory public mental health services?". A 'yes' response implies that a statewide unique client identifier system is in place, or some comparable approach has been used in the data analysis to allow tracking of service utilisation by an individual consumer across all public mental health services in the jurisdiction. Collection of this information is aimed at assessing the degree of consistency between jurisdictions in data reported.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5089711f942243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0dd1c8fdbf4b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89711f942243ad" /><Relationship Type="http://schemas.openxmlformats.org/officeDocument/2006/relationships/header" Target="/word/header1.xml" Id="R6effa40da20c4b9e" /><Relationship Type="http://schemas.openxmlformats.org/officeDocument/2006/relationships/settings" Target="/word/settings.xml" Id="R461f442910ff4dbe" /><Relationship Type="http://schemas.openxmlformats.org/officeDocument/2006/relationships/styles" Target="/word/styles.xml" Id="R35841b6107fe4d05" /><Relationship Type="http://schemas.openxmlformats.org/officeDocument/2006/relationships/hyperlink" Target="https://meteor.aihw.gov.au/RegistrationAuthority/12" TargetMode="External" Id="Raf02c4fd6e254105" /><Relationship Type="http://schemas.openxmlformats.org/officeDocument/2006/relationships/hyperlink" Target="https://meteor.aihw.gov.au/content/269976" TargetMode="External" Id="R28c46057022b49dc" /><Relationship Type="http://schemas.openxmlformats.org/officeDocument/2006/relationships/hyperlink" Target="https://meteor.aihw.gov.au/content/584236" TargetMode="External" Id="R850a9e85f1954aa7" /><Relationship Type="http://schemas.openxmlformats.org/officeDocument/2006/relationships/numbering" Target="/word/numbering.xml" Id="R8b597fcb6b974ed1" /><Relationship Type="http://schemas.openxmlformats.org/officeDocument/2006/relationships/hyperlink" Target="https://meteor.aihw.gov.au/content/598178" TargetMode="External" Id="Rd840055c02e54acc" /><Relationship Type="http://schemas.openxmlformats.org/officeDocument/2006/relationships/hyperlink" Target="https://meteor.aihw.gov.au/RegistrationAuthority/12" TargetMode="External" Id="R1d7fc3c6b0a74f96" /><Relationship Type="http://schemas.openxmlformats.org/officeDocument/2006/relationships/hyperlink" Target="https://meteor.aihw.gov.au/content/402135" TargetMode="External" Id="R5b64588de8c54da7" /><Relationship Type="http://schemas.openxmlformats.org/officeDocument/2006/relationships/hyperlink" Target="https://meteor.aihw.gov.au/content/426458" TargetMode="External" Id="R63d9ef8560cb46cb" /><Relationship Type="http://schemas.openxmlformats.org/officeDocument/2006/relationships/hyperlink" Target="https://meteor.aihw.gov.au/content/426458" TargetMode="External" Id="R70e47a9478384189" /><Relationship Type="http://schemas.openxmlformats.org/officeDocument/2006/relationships/hyperlink" Target="https://meteor.aihw.gov.au/content/426458" TargetMode="External" Id="R7b7af7a16e1647d2" /><Relationship Type="http://schemas.openxmlformats.org/officeDocument/2006/relationships/hyperlink" Target="https://meteor.aihw.gov.au/content/426458" TargetMode="External" Id="R9e4e24a4c91645de" /><Relationship Type="http://schemas.openxmlformats.org/officeDocument/2006/relationships/hyperlink" Target="https://meteor.aihw.gov.au/content/426458" TargetMode="External" Id="R4c86ec44328c4ea9" /><Relationship Type="http://schemas.openxmlformats.org/officeDocument/2006/relationships/hyperlink" Target="https://meteor.aihw.gov.au/content/426458" TargetMode="External" Id="Rd4b3cfe9354d4b3d" /><Relationship Type="http://schemas.openxmlformats.org/officeDocument/2006/relationships/hyperlink" Target="https://meteor.aihw.gov.au/content/584864" TargetMode="External" Id="Rd978e42359a94671" /><Relationship Type="http://schemas.openxmlformats.org/officeDocument/2006/relationships/hyperlink" Target="https://meteor.aihw.gov.au/content/584868" TargetMode="External" Id="R3cf10ef1afd44488" /></Relationships>
</file>

<file path=word/_rels/header1.xml.rels>&#65279;<?xml version="1.0" encoding="utf-8"?><Relationships xmlns="http://schemas.openxmlformats.org/package/2006/relationships"><Relationship Type="http://schemas.openxmlformats.org/officeDocument/2006/relationships/image" Target="/media/image.png" Id="R290dd1c8fdbf4b75" /></Relationships>
</file>