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01fae31b2264897"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15J – Rate of seclusion,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15J – Rate of seclusion,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15J: Rate of seclusion,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596858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acf6d86f824ee8">
              <w:r>
                <w:rPr>
                  <w:rStyle w:val="Hyperlink"/>
                  <w:color w:val="244061"/>
                </w:rPr>
                <w:t xml:space="preserve">Health</w:t>
              </w:r>
            </w:hyperlink>
            <w:r>
              <w:rPr>
                <w:rStyle w:val="row-content"/>
                <w:color w:val="244061"/>
              </w:rPr>
              <w:t xml:space="preserve">, Superseded 11/05/2016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seclusion events per 1,000 patient days within specialised mental health public hospital acute service units.</w:t>
            </w:r>
          </w:p>
          <w:p>
            <w:pPr/>
            <w:r>
              <w:rPr>
                <w:rStyle w:val="row-content-rich-text"/>
                <w:b/>
              </w:rPr>
              <w:t xml:space="preserve">Note: </w:t>
            </w:r>
            <w:r>
              <w:rPr>
                <w:rStyle w:val="row-content-rich-text"/>
              </w:rPr>
              <w:t xml:space="preserve">This specification has been adapted from the indicator </w:t>
            </w:r>
            <w:hyperlink w:history="true" r:id="R905a6c1b1b6f40f5">
              <w:r>
                <w:rPr>
                  <w:rStyle w:val="Hyperlink"/>
                </w:rPr>
                <w:t xml:space="preserve">MHS PI 15: Rate of seclusion, 2015</w:t>
              </w:r>
            </w:hyperlink>
            <w:r>
              <w:rPr>
                <w:rStyle w:val="row-content-rich-text"/>
              </w:rPr>
              <w:t xml:space="preserve"> (Service level version) using terminology consistent with the National Health Data Dictionary. </w:t>
            </w:r>
            <w:r>
              <w:rPr>
                <w:rStyle w:val="row-content-rich-text"/>
              </w:rPr>
              <w:t xml:space="preserve">There are technical differences in the scope of services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reduction, and where possible, elimination of seclusion in mental health services has been identified as a priority in the publication National safety priorities in mental health: a national plan for reducing harm.</w:t>
            </w:r>
          </w:p>
          <w:p>
            <w:pPr>
              <w:pStyle w:val="ListParagraph"/>
              <w:numPr>
                <w:ilvl w:val="0"/>
                <w:numId w:val="2"/>
              </w:numPr>
            </w:pPr>
            <w:r>
              <w:rPr>
                <w:rStyle w:val="row-content-rich-text"/>
              </w:rPr>
              <w:t xml:space="preserve">High levels of seclusion are widely regarded as inappropriate treatment,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seclusion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284ac9b4721465c">
              <w:r>
                <w:rPr>
                  <w:rStyle w:val="Hyperlink"/>
                </w:rPr>
                <w:t xml:space="preserve">Key Performance Indicators for Australian Public Mental Health Services (Jurisdictional level version) (2015)</w:t>
              </w:r>
            </w:hyperlink>
          </w:p>
          <w:p>
            <w:pPr>
              <w:pStyle w:val="registration-status"/>
              <w:spacing w:before="0" w:after="0"/>
            </w:pPr>
            <w:hyperlink w:history="true" r:id="R8dc60d870a344058">
              <w:r>
                <w:rPr>
                  <w:rStyle w:val="Hyperlink"/>
                  <w:color w:val="244061"/>
                </w:rPr>
                <w:t xml:space="preserve">Health</w:t>
              </w:r>
            </w:hyperlink>
            <w:r>
              <w:rPr>
                <w:rStyle w:val="row-content"/>
                <w:color w:val="244061"/>
              </w:rPr>
              <w:t xml:space="preserve">, Superseded 11/05/2016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mental health public acute admitted patient service units in scope for reporting in accordance with the Mental Health Seclusion and Restraint Data Set Specification.</w:t>
            </w:r>
          </w:p>
          <w:p>
            <w:pPr>
              <w:pStyle w:val="ListParagraph"/>
              <w:numPr>
                <w:ilvl w:val="0"/>
                <w:numId w:val="3"/>
              </w:numPr>
            </w:pPr>
            <w:r>
              <w:rPr>
                <w:rStyle w:val="row-content-rich-text"/>
              </w:rPr>
              <w:t xml:space="preserve">Services where seclusion is not an authorised practice under relevant mental health legislation and/or policy (such as non-gazetted admitted patient units that are not authorised to admit consumers on an involuntary basis) should be excluded (from numerator and denominator).</w:t>
            </w:r>
          </w:p>
          <w:p>
            <w:pPr>
              <w:spacing w:after="160"/>
            </w:pPr>
            <w:r>
              <w:rPr>
                <w:rStyle w:val="row-content-rich-text"/>
              </w:rPr>
              <w:t xml:space="preserve">Methodology:</w:t>
            </w:r>
          </w:p>
          <w:p>
            <w:pPr>
              <w:pStyle w:val="ListParagraph"/>
              <w:numPr>
                <w:ilvl w:val="0"/>
                <w:numId w:val="4"/>
              </w:numPr>
            </w:pPr>
            <w:r>
              <w:rPr>
                <w:rStyle w:val="row-content-rich-text"/>
              </w:rPr>
              <w:t xml:space="preserve">Seclusion and restraint data are compiled by State/Territory data providers according to the specifications of the Mental Health Seclusion and Restraint Data Set Specification. As such, data are subject to the concepts and definitions developed for the DSS.</w:t>
            </w:r>
          </w:p>
          <w:p>
            <w:pPr>
              <w:pStyle w:val="ListParagraph"/>
              <w:numPr>
                <w:ilvl w:val="0"/>
                <w:numId w:val="4"/>
              </w:numPr>
            </w:pPr>
            <w:r>
              <w:rPr>
                <w:rStyle w:val="row-content-rich-text"/>
              </w:rPr>
              <w:t xml:space="preserve">For the purpose of this indicator, when a mental health service organisation has more than one unit of a particular admitted patient care program, those units should be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seclusion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806da343a0b4d4d">
              <w:r>
                <w:rPr>
                  <w:rStyle w:val="Hyperlink"/>
                </w:rPr>
                <w:t xml:space="preserve">Specialised mental health service—number of seclusion events, total number N[NNN]</w:t>
              </w:r>
            </w:hyperlink>
          </w:p>
          <w:p>
            <w:r>
              <w:rPr>
                <w:rStyle w:val="row-content"/>
                <w:b/>
              </w:rPr>
              <w:t xml:space="preserve">Guide for use</w:t>
            </w:r>
          </w:p>
          <w:p>
            <w:r>
              <w:rPr>
                <w:rStyle w:val="row-content"/>
              </w:rPr>
              <w:t xml:space="preserve">Data source type: State/territory seclusion registers or relevant information systems</w:t>
            </w:r>
          </w:p>
          <w:p>
            <w:r>
              <w:rPr>
                <w:rStyle w:val="row-content"/>
                <w:b/>
              </w:rPr>
              <w:t xml:space="preserve">Data Source</w:t>
            </w:r>
          </w:p>
          <w:p>
            <w:r>
              <w:rPr>
                <w:rStyle w:val="row-content"/>
              </w:rPr>
              <w:t xml:space="preserve">The Safety and Quality Partnership Standing Committee's (SQPSC) 'ad hoc' seclusion data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accrued mental health care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7f7d07f62c944c6">
              <w:r>
                <w:rPr>
                  <w:rStyle w:val="Hyperlink"/>
                </w:rPr>
                <w:t xml:space="preserve">Establishment—accrued mental health care days, total N[N(7)]</w:t>
              </w:r>
            </w:hyperlink>
          </w:p>
          <w:p>
            <w:r>
              <w:rPr>
                <w:rStyle w:val="row-content"/>
                <w:b/>
              </w:rPr>
              <w:t xml:space="preserve">Guide for use</w:t>
            </w:r>
          </w:p>
          <w:p>
            <w:r>
              <w:rPr>
                <w:rStyle w:val="row-content"/>
              </w:rPr>
              <w:t xml:space="preserve">Data source type: State/territory seclusion registers or relevant information systems</w:t>
            </w:r>
          </w:p>
          <w:p>
            <w:r>
              <w:rPr>
                <w:rStyle w:val="row-content"/>
                <w:b/>
              </w:rPr>
              <w:t xml:space="preserve">Data Source</w:t>
            </w:r>
          </w:p>
          <w:p>
            <w:r>
              <w:rPr>
                <w:rStyle w:val="row-content"/>
              </w:rPr>
              <w:t xml:space="preserve">The Safety and Quality Partnership Standing Committee's (SQPSC) 'ad hoc' seclusion data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remoteness</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3f652ea2f3f4f82">
              <w:r>
                <w:rPr>
                  <w:rStyle w:val="Hyperlink"/>
                </w:rPr>
                <w:t xml:space="preserve">Specialised mental health service—target population group, code N</w:t>
              </w:r>
            </w:hyperlink>
          </w:p>
          <w:p>
            <w:r>
              <w:rPr>
                <w:rStyle w:val="row-content"/>
                <w:b/>
              </w:rPr>
              <w:t xml:space="preserve">Guide for use</w:t>
            </w:r>
          </w:p>
          <w:p>
            <w:r>
              <w:rPr>
                <w:rStyle w:val="row-content"/>
              </w:rPr>
              <w:t xml:space="preserve">Data source type: State/territory seclusion registers or relevant information systems</w:t>
            </w:r>
          </w:p>
          <w:p>
            <w:r>
              <w:rPr>
                <w:rStyle w:val="row-content"/>
                <w:b/>
              </w:rPr>
              <w:t xml:space="preserve">Data Source</w:t>
            </w:r>
          </w:p>
          <w:p>
            <w:r>
              <w:rPr>
                <w:rStyle w:val="row-content"/>
              </w:rPr>
              <w:t xml:space="preserve">The Safety and Quality Partnership Standing Committee's (SQPSC) 'ad hoc' seclusion data collection</w:t>
            </w:r>
          </w:p>
          <w:p>
            <w:r>
              <w:rPr>
                <w:rStyle w:val="row-content"/>
              </w:rPr>
              <w:t xml:space="preserve"> </w:t>
            </w:r>
          </w:p>
          <w:p>
            <w:r>
              <w:rPr>
                <w:rStyle w:val="row-content"/>
                <w:b/>
                <w:color w:val="000000"/>
              </w:rPr>
              <w:t xml:space="preserve">Data Element / Data Set</w:t>
            </w:r>
          </w:p>
          <w:p>
            <w:hyperlink w:history="true" r:id="R5fad93ac04054fe6">
              <w:r>
                <w:rPr>
                  <w:rStyle w:val="Hyperlink"/>
                </w:rPr>
                <w:t xml:space="preserve">Address—statistical area, level 2 (SA2) code (ASGS 2011) N(9)</w:t>
              </w:r>
            </w:hyperlink>
          </w:p>
          <w:p>
            <w:r>
              <w:rPr>
                <w:rStyle w:val="row-content"/>
                <w:b/>
              </w:rPr>
              <w:t xml:space="preserve">Guide for use</w:t>
            </w:r>
          </w:p>
          <w:p>
            <w:r>
              <w:rPr>
                <w:rStyle w:val="row-content"/>
              </w:rPr>
              <w:t xml:space="preserve">Data source type: State/territory seclusion registers or relevant information systems</w:t>
            </w:r>
          </w:p>
          <w:p>
            <w:r>
              <w:rPr>
                <w:rStyle w:val="row-content"/>
                <w:b/>
              </w:rPr>
              <w:t xml:space="preserve">Data Source</w:t>
            </w:r>
          </w:p>
          <w:p>
            <w:r>
              <w:rPr>
                <w:rStyle w:val="row-content"/>
              </w:rPr>
              <w:t xml:space="preserve">The Safety and Quality Partnership Standing Committee's (SQPSC) 'ad hoc' seclusion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c96aa5aee1e4013">
              <w:r>
                <w:rPr>
                  <w:rStyle w:val="Hyperlink"/>
                </w:rPr>
                <w:t xml:space="preserve">Safe</w:t>
              </w:r>
            </w:hyperlink>
            <w:r>
              <w:br/>
            </w:r>
            <w:r>
              <w:br/>
            </w:r>
          </w:p>
          <w:p>
            <w:hyperlink w:history="true" r:id="R3975503874ff4b5a">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construct this indicator at a national level requires separate indicator data to be provided individually by states and territories.</w:t>
            </w:r>
          </w:p>
          <w:p>
            <w:pPr/>
            <w:r>
              <w:rPr>
                <w:rStyle w:val="row-content-rich-text"/>
              </w:rPr>
              <w:t xml:space="preserve">National collection of seclusion and restraint data is being progressed through the establishment of the Mental Health Seclusion and Restraint Data Set Specification, with data supplied by state/territories via and ongoing agreement facilitated by the Safety and Quality Partnership Standing Committee, which is a subcommittee, of the Mental Health, Drug and Alcohol Principal Committee (MHDAPC).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The use of seclusion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5"/>
              </w:numPr>
            </w:pPr>
            <w:r>
              <w:rPr>
                <w:rStyle w:val="row-content-rich-text"/>
              </w:rPr>
              <w:t xml:space="preserve">The duration of seclusion is an essential piece of information to align with an indicator of the rate or frequency of seclusion as it provides a better understanding of an organisation’s performance in relation to seclusion use and management. However, the capacity to collect information regarding duration of seclusion episodes varies substantially across jurisdictions. Work continues at a national level that will facilitate the development of a meaningful indicator of duration as it is likely to be easily skewed by outliers.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37d9aa6c2264d4d">
              <w:r>
                <w:rPr>
                  <w:rStyle w:val="Hyperlink"/>
                </w:rPr>
                <w:t xml:space="preserve">KPIs for Australian Public Mental Health Services: PI 15J – Rate of seclusion, 2016</w:t>
              </w:r>
            </w:hyperlink>
          </w:p>
          <w:p>
            <w:pPr>
              <w:pStyle w:val="registration-status"/>
              <w:spacing w:before="0" w:after="0"/>
            </w:pPr>
            <w:hyperlink w:history="true" r:id="R37cbeb5da006405d">
              <w:r>
                <w:rPr>
                  <w:rStyle w:val="Hyperlink"/>
                  <w:color w:val="244061"/>
                </w:rPr>
                <w:t xml:space="preserve">Health</w:t>
              </w:r>
            </w:hyperlink>
            <w:r>
              <w:rPr>
                <w:rStyle w:val="row-content"/>
                <w:color w:val="244061"/>
              </w:rPr>
              <w:t xml:space="preserve">, Superseded 14/06/2017</w:t>
            </w:r>
          </w:p>
          <w:p>
            <w:r>
              <w:br/>
            </w:r>
          </w:p>
        </w:tc>
      </w:tr>
    </w:tbl>
    <w:p>
      <w:r>
        <w:br/>
      </w:r>
    </w:p>
    <w:sectPr>
      <w:footerReference xmlns:r="http://schemas.openxmlformats.org/officeDocument/2006/relationships" w:type="default" r:id="Rf2d31f000dd241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596858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2a46cfe1944e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d31f000dd2419f" /><Relationship Type="http://schemas.openxmlformats.org/officeDocument/2006/relationships/header" Target="/word/header1.xml" Id="R5ecfafaa779942fc" /><Relationship Type="http://schemas.openxmlformats.org/officeDocument/2006/relationships/settings" Target="/word/settings.xml" Id="Rc3f82057a98b473b" /><Relationship Type="http://schemas.openxmlformats.org/officeDocument/2006/relationships/styles" Target="/word/styles.xml" Id="Rc48944f323bb42a9" /><Relationship Type="http://schemas.openxmlformats.org/officeDocument/2006/relationships/numbering" Target="/word/numbering.xml" Id="R14d45c2b62b64d3e" /><Relationship Type="http://schemas.openxmlformats.org/officeDocument/2006/relationships/hyperlink" Target="https://meteor.aihw.gov.au/RegistrationAuthority/12" TargetMode="External" Id="R11acf6d86f824ee8" /><Relationship Type="http://schemas.openxmlformats.org/officeDocument/2006/relationships/hyperlink" Target="https://meteor.aihw.gov.au/content/584248" TargetMode="External" Id="R905a6c1b1b6f40f5" /><Relationship Type="http://schemas.openxmlformats.org/officeDocument/2006/relationships/hyperlink" Target="https://meteor.aihw.gov.au/content/598178" TargetMode="External" Id="Rd284ac9b4721465c" /><Relationship Type="http://schemas.openxmlformats.org/officeDocument/2006/relationships/hyperlink" Target="https://meteor.aihw.gov.au/RegistrationAuthority/12" TargetMode="External" Id="R8dc60d870a344058" /><Relationship Type="http://schemas.openxmlformats.org/officeDocument/2006/relationships/hyperlink" Target="https://meteor.aihw.gov.au/content/558083" TargetMode="External" Id="Rd806da343a0b4d4d" /><Relationship Type="http://schemas.openxmlformats.org/officeDocument/2006/relationships/hyperlink" Target="https://meteor.aihw.gov.au/content/286770" TargetMode="External" Id="R07f7d07f62c944c6" /><Relationship Type="http://schemas.openxmlformats.org/officeDocument/2006/relationships/hyperlink" Target="https://meteor.aihw.gov.au/content/288957" TargetMode="External" Id="R03f652ea2f3f4f82" /><Relationship Type="http://schemas.openxmlformats.org/officeDocument/2006/relationships/hyperlink" Target="https://meteor.aihw.gov.au/content/457289" TargetMode="External" Id="R5fad93ac04054fe6" /><Relationship Type="http://schemas.openxmlformats.org/officeDocument/2006/relationships/hyperlink" Target="https://meteor.aihw.gov.au/content/584866" TargetMode="External" Id="R4c96aa5aee1e4013" /><Relationship Type="http://schemas.openxmlformats.org/officeDocument/2006/relationships/hyperlink" Target="https://meteor.aihw.gov.au/content/584871" TargetMode="External" Id="R3975503874ff4b5a" /><Relationship Type="http://schemas.openxmlformats.org/officeDocument/2006/relationships/hyperlink" Target="https://meteor.aihw.gov.au/content/630396" TargetMode="External" Id="Rf37d9aa6c2264d4d" /><Relationship Type="http://schemas.openxmlformats.org/officeDocument/2006/relationships/hyperlink" Target="https://meteor.aihw.gov.au/RegistrationAuthority/12" TargetMode="External" Id="R37cbeb5da006405d" /></Relationships>
</file>

<file path=word/_rels/header1.xml.rels>&#65279;<?xml version="1.0" encoding="utf-8"?><Relationships xmlns="http://schemas.openxmlformats.org/package/2006/relationships"><Relationship Type="http://schemas.openxmlformats.org/officeDocument/2006/relationships/image" Target="/media/image.png" Id="R302a46cfe1944eb4" /></Relationships>
</file>