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96088d5044f83"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a28f1968d474e">
              <w:r>
                <w:rPr>
                  <w:rStyle w:val="Hyperlink"/>
                  <w:color w:val="244061"/>
                </w:rPr>
                <w:t xml:space="preserve">AIHW Data Quality Statements</w:t>
              </w:r>
            </w:hyperlink>
            <w:r>
              <w:rPr>
                <w:rStyle w:val="row-content"/>
                <w:color w:val="244061"/>
              </w:rPr>
              <w:t xml:space="preserve">, Superseded 16/12/2015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(1 jurisdiction was unable to provide or only able to partially provide) for 3 of the 27 collection tables,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d6c8332230e34bfb">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2013–14</w:t>
            </w:r>
            <w:r>
              <w:rPr>
                <w:rStyle w:val="row-content-rich-text"/>
              </w:rPr>
              <w:t xml:space="preserve"> is from 1 July 2013 to 30 June 2014.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2013–14 collection, the first iteration of data was due to the AIHW 6 weeks after the end of the financial year (by 8 August 2014), and data were finalised for all states and territories by 9 September 2014.</w:t>
            </w:r>
          </w:p>
          <w:p>
            <w:pPr>
              <w:spacing w:after="160"/>
            </w:pPr>
            <w:r>
              <w:rPr>
                <w:rStyle w:val="row-content-rich-text"/>
              </w:rPr>
              <w:t xml:space="preserve">The data for each collection period are released in the AIHW’s Adoptions Australia annual publication. In 2013–14, concurrent with the annual publication, key findings were released in an online snapshot, and, for intercountry adoption data,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40a2d469692c4798">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93a2704db3a7484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2013–14</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2013–14</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 </w:t>
            </w:r>
            <w:hyperlink w:history="true" r:id="R922db2c68615498e">
              <w:r>
                <w:rPr>
                  <w:rStyle w:val="Hyperlink"/>
                </w:rPr>
                <w:t xml:space="preserve">/content/index.phtml/itemId/467027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related to intercountry, local and known adoption placements, as well as finalisations that occurred during the reporting period (that is, the 2013–14 reporting period would include data from 1 July 2013 to 30 June 2014).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2013–14.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 was finalised during the reporting period. This includes orders that were made in Australia, and, in the case of some intercountry adoptions, where the full adoption order was made in the country of origin.</w:t>
            </w:r>
          </w:p>
          <w:p>
            <w:pPr>
              <w:spacing w:after="160"/>
            </w:pPr>
            <w:r>
              <w:rPr>
                <w:rStyle w:val="row-content-rich-text"/>
              </w:rPr>
              <w:t xml:space="preserve"> </w:t>
            </w:r>
          </w:p>
          <w:p>
            <w:pPr>
              <w:spacing w:after="160"/>
            </w:pPr>
            <w:r>
              <w:rPr>
                <w:rStyle w:val="row-content-rich-text"/>
              </w:rPr>
              <w:t xml:space="preserve">•  Placements—Children, regardless of the status of their adoption order, who were placed with their adoptive family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those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adopted person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b/>
              </w:rPr>
              <w:t xml:space="preserve">Overall, the quality and coverage of data in the collection are good. In 2013–14, of the 24 data tables in the aggregate collection:</w:t>
            </w:r>
          </w:p>
          <w:p>
            <w:pPr>
              <w:spacing w:after="160"/>
            </w:pPr>
            <w:r>
              <w:rPr>
                <w:rStyle w:val="row-content-rich-text"/>
                <w:b/>
              </w:rPr>
              <w:t xml:space="preserve">•  only 3 tables did not contain data for all jurisdictions, as New South Wales was unable to provide data for 2 tables and Western Australia for one table</w:t>
            </w:r>
          </w:p>
          <w:p>
            <w:pPr>
              <w:spacing w:after="160"/>
            </w:pPr>
            <w:r>
              <w:rPr>
                <w:rStyle w:val="row-content-rich-text"/>
                <w:b/>
              </w:rPr>
              <w:t xml:space="preserve">•  only 2 tables contain data recorded as unknown—no tables had an unknown category, which comprised more than 3% of the data supplied.</w:t>
            </w:r>
          </w:p>
          <w:p>
            <w:pPr>
              <w:spacing w:after="160"/>
            </w:pPr>
            <w:r>
              <w:rPr>
                <w:rStyle w:val="row-content-rich-text"/>
                <w:b/>
              </w:rPr>
              <w:t xml:space="preserve">Limitations in existing data</w:t>
            </w:r>
          </w:p>
          <w:p>
            <w:pPr>
              <w:spacing w:after="160"/>
            </w:pPr>
            <w:r>
              <w:rPr>
                <w:rStyle w:val="row-content-rich-text"/>
                <w:b/>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b/>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(AGD 2014c). A United States study (Welsh et al. 2008) found that prospective parents adopting from Korea received more information about the child’s birth family, prenatal circumstances and perinatal events than those adopting from China, parts of Eastern Europe, Latin America (primarily Guatemala), the Philippines and India.</w:t>
            </w:r>
          </w:p>
          <w:p>
            <w:pPr>
              <w:spacing w:after="160"/>
            </w:pPr>
            <w:r>
              <w:rPr>
                <w:rStyle w:val="row-content-rich-text"/>
                <w:b/>
              </w:rPr>
              <w:t xml:space="preserve">Several areas that could enrich the understanding of adoption in Australia have no reliable data source.</w:t>
            </w:r>
          </w:p>
          <w:p>
            <w:pPr>
              <w:spacing w:after="160"/>
            </w:pPr>
            <w:r>
              <w:rPr>
                <w:rStyle w:val="row-content-rich-text"/>
                <w:b/>
                <w:u w:val="single"/>
              </w:rPr>
              <w:t xml:space="preserve">Parents and families</w:t>
            </w:r>
            <w:r>
              <w:rPr>
                <w:rStyle w:val="row-content-rich-text"/>
                <w:b/>
                <w:i/>
              </w:rPr>
              <w:t xml:space="preserve"> </w:t>
            </w:r>
          </w:p>
          <w:p>
            <w:pPr>
              <w:spacing w:after="160"/>
            </w:pPr>
            <w:r>
              <w:rPr>
                <w:rStyle w:val="row-content-rich-text"/>
                <w:b/>
                <w:i/>
              </w:rPr>
              <w:t xml:space="preserve">Adoptive families</w:t>
            </w:r>
          </w:p>
          <w:p>
            <w:pPr>
              <w:spacing w:after="160"/>
            </w:pPr>
            <w:r>
              <w:rPr>
                <w:rStyle w:val="row-content-rich-text"/>
                <w:b/>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has not been investigated. With the growing proportion of carer adoptions in the Australian adoption context, this information will become increasingly important to understanding adoption in Australia.</w:t>
            </w:r>
          </w:p>
          <w:p>
            <w:pPr>
              <w:spacing w:after="160"/>
            </w:pPr>
            <w:r>
              <w:rPr>
                <w:rStyle w:val="row-content-rich-text"/>
                <w:b/>
                <w:i/>
              </w:rPr>
              <w:t xml:space="preserve">Families of intercountry adoptees</w:t>
            </w:r>
          </w:p>
          <w:p>
            <w:pPr>
              <w:spacing w:after="160"/>
            </w:pPr>
            <w:r>
              <w:rPr>
                <w:rStyle w:val="row-content-rich-text"/>
                <w:b/>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b/>
              </w:rPr>
              <w:t xml:space="preserve">While research indicates the importance of adoptive parents’ access to historical information in improving post-adoption outcomes, as noted previously, the capacity of countries of origin to determine and record information regarding a child for whom intercountry adoption is deemed appropriate is constrained by economic and social issues, and varies between countries. The amount of information available is generally inconsistent and of poor quality, making it unsuitable for reporting.</w:t>
            </w:r>
          </w:p>
          <w:p>
            <w:pPr>
              <w:spacing w:after="160"/>
            </w:pPr>
            <w:r>
              <w:rPr>
                <w:rStyle w:val="row-content-rich-text"/>
                <w:b/>
                <w:u w:val="single"/>
              </w:rPr>
              <w:t xml:space="preserve">Processing times for local and known child adoptions</w:t>
            </w:r>
          </w:p>
          <w:p>
            <w:pPr>
              <w:spacing w:after="160"/>
            </w:pPr>
            <w:r>
              <w:rPr>
                <w:rStyle w:val="row-content-rich-text"/>
                <w:b/>
              </w:rPr>
              <w:t xml:space="preserve">The length of time the adoption process in Australia takes is of significant interest to a range of stakeholders (from government officials, to prospective adoptive parents). Such data provide insights into the level of efficiency in contemporary adoption practices, and also speak to the lived experience of prospective parents seeking to form a family via adoption.</w:t>
            </w:r>
          </w:p>
          <w:p>
            <w:pPr>
              <w:spacing w:after="160"/>
            </w:pPr>
            <w:r>
              <w:rPr>
                <w:rStyle w:val="row-content-rich-text"/>
                <w:b/>
              </w:rPr>
              <w:t xml:space="preserve">Data in this report provide an indication of the time involved in the intercountry adoption process and changes in this over time. However, data are not currently nationally available in relation to the other types of adoption. For carer adoptions complexities regarding when the process should be considered to have commenced make it difficult to capture nationally comparable data. The availability of data in relation to processing times for local adoptions has not currently been explored. These data could provide useful information on the similarities or differences between types of adoption.</w:t>
            </w:r>
          </w:p>
          <w:p>
            <w:pPr>
              <w:spacing w:after="160"/>
            </w:pPr>
            <w:r>
              <w:rPr>
                <w:rStyle w:val="row-content-rich-text"/>
                <w:b/>
                <w:u w:val="single"/>
              </w:rPr>
              <w:t xml:space="preserve">Prospective adoptive parents and children available for adoption</w:t>
            </w:r>
          </w:p>
          <w:p>
            <w:pPr>
              <w:spacing w:after="160"/>
            </w:pPr>
            <w:r>
              <w:rPr>
                <w:rStyle w:val="row-content-rich-text"/>
                <w:b/>
              </w:rPr>
              <w:t xml:space="preserve">For intercountry adoption, national data have been reportable for the last three years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b/>
              </w:rPr>
              <w:t xml:space="preserve">Similarly, there is currently no way of determining the current population of children available for adoption.</w:t>
            </w:r>
          </w:p>
          <w:p>
            <w:pPr>
              <w:spacing w:after="160"/>
            </w:pPr>
            <w:r>
              <w:rPr>
                <w:rStyle w:val="row-content-rich-text"/>
                <w:b/>
              </w:rPr>
              <w:t xml:space="preserve">Information on both populations would help to inform the national picture of adoption in Australia, by providing insights into the present level of unmet need.</w:t>
            </w:r>
          </w:p>
          <w:p>
            <w:pPr>
              <w:spacing w:after="160"/>
            </w:pPr>
            <w:r>
              <w:rPr>
                <w:rStyle w:val="row-content-rich-text"/>
                <w:b/>
                <w:u w:val="single"/>
              </w:rPr>
              <w:t xml:space="preserve">Adoptions of children with special needs</w:t>
            </w:r>
          </w:p>
          <w:p>
            <w:pPr>
              <w:spacing w:after="160"/>
            </w:pPr>
            <w:r>
              <w:rPr>
                <w:rStyle w:val="row-content-rich-text"/>
                <w:b/>
              </w:rPr>
              <w:t xml:space="preserve">Due to complexities in determining a consistent definition of ‘special needs’, data on the adoption of children with special needs are not currently available in Australia. These data would help to further describe the population of children available for adoption, inform prospective adoptive parents, and provide an indication of the types of supports required before and after adoption.</w:t>
            </w:r>
          </w:p>
          <w:p>
            <w:pPr>
              <w:spacing w:after="160"/>
            </w:pPr>
            <w:r>
              <w:rPr>
                <w:rStyle w:val="row-content-rich-text"/>
                <w:b/>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‘special needs’ is also frequently applied (in the context of adoption) to a broad range of conditions that are deemed to pose potential barriers to the permanent placement of a child and/or affect the outcome of an adoption (HCCH 2005; Tan et al. 2007).</w:t>
            </w:r>
          </w:p>
          <w:p>
            <w:pPr>
              <w:spacing w:after="160"/>
            </w:pPr>
            <w:r>
              <w:rPr>
                <w:rStyle w:val="row-content-rich-text"/>
                <w:b/>
              </w:rPr>
              <w:t xml:space="preserve">Older children, and children who are part of a sibling group that is to be placed with the same adoptive family, might be considered to comprise a special needs adoption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person.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b/>
                <w:u w:val="single"/>
              </w:rPr>
              <w:t xml:space="preserve">Adoption services and supports</w:t>
            </w:r>
          </w:p>
          <w:p>
            <w:pPr>
              <w:spacing w:after="160"/>
            </w:pPr>
            <w:r>
              <w:rPr>
                <w:rStyle w:val="row-content-rich-text"/>
                <w:b/>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Initiatives such as the Nationally Consistent Core Curriculum help make pre‑adoption services widely available across Australia.</w:t>
            </w:r>
          </w:p>
          <w:p>
            <w:pPr>
              <w:spacing w:after="160"/>
            </w:pPr>
            <w:r>
              <w:rPr>
                <w:rStyle w:val="row-content-rich-text"/>
                <w:b/>
              </w:rPr>
              <w:t xml:space="preserve">Previous studies have highlighted some post-adoption support services reported to be needed by adoptive parents. These are particularly important for adoptive families of children with special needs. Services highlighted in the literature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b/>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b/>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b/>
              </w:rPr>
              <w:t xml:space="preserve">To understand adoption in Australia, it is important to know how adoptees and the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 due to these reasons.</w:t>
            </w:r>
          </w:p>
          <w:p>
            <w:pPr>
              <w:spacing w:after="160"/>
            </w:pPr>
            <w:r>
              <w:rPr>
                <w:rStyle w:val="row-content-rich-text"/>
                <w:b/>
                <w:u w:val="single"/>
              </w:rPr>
              <w:t xml:space="preserve">Addressing information gaps</w:t>
            </w:r>
          </w:p>
          <w:p>
            <w:pPr/>
            <w:r>
              <w:rPr>
                <w:rStyle w:val="row-content-rich-text"/>
                <w:b/>
              </w:rPr>
              <w:t xml:space="preserve">The AIHW, with the support of the state and territory departments responsible for adoption and other national agencies, such as the Attorney-General’s Department and the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that occur, and to bring the terminology more in line with that used by state and territory departments responsible for adoption. However, the new categories of adoption introduced in 1998–99 can still be mapped to those reported before this period, avoiding a break in trend data. Refer to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spacing w:after="160"/>
            </w:pPr>
            <w:r>
              <w:rPr>
                <w:rStyle w:val="row-content-rich-text"/>
              </w:rPr>
              <w:t xml:space="preserve">In 2010, the AGD also began collecting data on activity in each intercountry adoption program from the states and territories on a 6-monthly basis. The data are reported on a calendar year basis, and include the total number of approved intercountry adoption applications, files sent overseas and placement proposals. The AIHW Adoptions Australia report does not include placement proposals. Placement proposals refer to when a partner country matches a child (or children) with Australian parents, and a formal placement proposal is sent to Australia.</w:t>
            </w:r>
          </w:p>
          <w:p>
            <w:pPr/>
            <w:r>
              <w:rPr>
                <w:rStyle w:val="row-content-rich-text"/>
              </w:rPr>
              <w:t xml:space="preserve">Placement proposals do not always refer to a single child—a proposal might refer to a sibling group, and there will be a delay between a placement proposal being accepted and the child’s arrival in Australia (AGD 2014d). While both the AGD collection and Adoptions Australia collection contain information on the number of adoption applications and files sent overseas, there are differences in the reporting periods of the 2 collections, and in the definitions underlying the data. For example, the AGD counts applications for the calendar year and includes applications with an assigned country of origin already sent and waiting overseas, and applications approved but queued in Australia. In contrast, the applications data reported in the Adoptions Australia reports are for the financial year, and include only new applications approved by the department during this period, regardless of whether a country of origin has been assigned. So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c5c9085ff14b3b">
              <w:r>
                <w:rPr>
                  <w:rStyle w:val="Hyperlink"/>
                </w:rPr>
                <w:t xml:space="preserve">Adoptions Australia Data Quality Statement</w:t>
              </w:r>
            </w:hyperlink>
          </w:p>
          <w:p>
            <w:pPr>
              <w:spacing w:before="0" w:after="0"/>
            </w:pPr>
            <w:r>
              <w:rPr>
                <w:rStyle w:val="row-content"/>
                <w:color w:val="244061"/>
              </w:rPr>
              <w:t xml:space="preserve">       </w:t>
            </w:r>
            <w:hyperlink w:history="true" r:id="R38b7790f5c114b2d">
              <w:r>
                <w:rPr>
                  <w:rStyle w:val="Hyperlink"/>
                  <w:color w:val="244061"/>
                </w:rPr>
                <w:t xml:space="preserve">AIHW Data Quality Statements</w:t>
              </w:r>
            </w:hyperlink>
            <w:r>
              <w:rPr>
                <w:rStyle w:val="row-content"/>
                <w:color w:val="244061"/>
              </w:rPr>
              <w:t xml:space="preserve">, Superseded 10/12/2014</w:t>
            </w:r>
          </w:p>
          <w:p>
            <w:r>
              <w:br/>
            </w:r>
            <w:r>
              <w:rPr>
                <w:rStyle w:val="row-content"/>
              </w:rPr>
              <w:t xml:space="preserve">Has been superseded by </w:t>
            </w:r>
            <w:hyperlink w:history="true" r:id="R0a439ab8b20e449c">
              <w:r>
                <w:rPr>
                  <w:rStyle w:val="Hyperlink"/>
                </w:rPr>
                <w:t xml:space="preserve">Adoptions Australia Data Quality Statement 2014–15</w:t>
              </w:r>
            </w:hyperlink>
          </w:p>
          <w:p>
            <w:pPr>
              <w:spacing w:before="0" w:after="0"/>
            </w:pPr>
            <w:r>
              <w:rPr>
                <w:rStyle w:val="row-content"/>
                <w:color w:val="244061"/>
              </w:rPr>
              <w:t xml:space="preserve">       </w:t>
            </w:r>
            <w:hyperlink w:history="true" r:id="R90de10270149458a">
              <w:r>
                <w:rPr>
                  <w:rStyle w:val="Hyperlink"/>
                  <w:color w:val="244061"/>
                </w:rPr>
                <w:t xml:space="preserve">AIHW Data Quality Statements</w:t>
              </w:r>
            </w:hyperlink>
            <w:r>
              <w:rPr>
                <w:rStyle w:val="row-content"/>
                <w:color w:val="244061"/>
              </w:rPr>
              <w:t xml:space="preserve">, Superseded 19/12/2016</w:t>
            </w:r>
          </w:p>
          <w:p>
            <w:r>
              <w:br/>
            </w:r>
          </w:p>
        </w:tc>
      </w:tr>
    </w:tbl>
    <w:p>
      <w:r>
        <w:br/>
      </w:r>
    </w:p>
    <w:sectPr>
      <w:footerReference xmlns:r="http://schemas.openxmlformats.org/officeDocument/2006/relationships" w:type="default" r:id="Rd53beb50f6de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024c951d2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beb50f6de4863" /><Relationship Type="http://schemas.openxmlformats.org/officeDocument/2006/relationships/header" Target="/word/header1.xml" Id="R469e7dd26a7d4f12" /><Relationship Type="http://schemas.openxmlformats.org/officeDocument/2006/relationships/settings" Target="/word/settings.xml" Id="Re2442f6c67a74e6f" /><Relationship Type="http://schemas.openxmlformats.org/officeDocument/2006/relationships/styles" Target="/word/styles.xml" Id="R0788183653ec4e14" /><Relationship Type="http://schemas.openxmlformats.org/officeDocument/2006/relationships/hyperlink" Target="https://meteor.aihw.gov.au/RegistrationAuthority/5" TargetMode="External" Id="R57ca28f1968d474e" /><Relationship Type="http://schemas.openxmlformats.org/officeDocument/2006/relationships/hyperlink" Target="http://www.aihw.gov.au" TargetMode="External" Id="Rd6c8332230e34bfb" /><Relationship Type="http://schemas.openxmlformats.org/officeDocument/2006/relationships/hyperlink" Target="http://www.aihw.gov.au" TargetMode="External" Id="R40a2d469692c4798" /><Relationship Type="http://schemas.openxmlformats.org/officeDocument/2006/relationships/hyperlink" Target="mailto:info@aihw.gov.au" TargetMode="External" Id="R93a2704db3a7484b" /><Relationship Type="http://schemas.openxmlformats.org/officeDocument/2006/relationships/hyperlink" Target="https://meteor.aihw.gov.au/content/467027" TargetMode="External" Id="R922db2c68615498e" /><Relationship Type="http://schemas.openxmlformats.org/officeDocument/2006/relationships/hyperlink" Target="https://meteor.aihw.gov.au/content/511047" TargetMode="External" Id="Refc5c9085ff14b3b" /><Relationship Type="http://schemas.openxmlformats.org/officeDocument/2006/relationships/hyperlink" Target="https://meteor.aihw.gov.au/RegistrationAuthority/5" TargetMode="External" Id="R38b7790f5c114b2d" /><Relationship Type="http://schemas.openxmlformats.org/officeDocument/2006/relationships/hyperlink" Target="https://meteor.aihw.gov.au/content/625060" TargetMode="External" Id="R0a439ab8b20e449c" /><Relationship Type="http://schemas.openxmlformats.org/officeDocument/2006/relationships/hyperlink" Target="https://meteor.aihw.gov.au/RegistrationAuthority/5" TargetMode="External" Id="R90de10270149458a" /></Relationships>
</file>

<file path=word/_rels/header1.xml.rels>&#65279;<?xml version="1.0" encoding="utf-8"?><Relationships xmlns="http://schemas.openxmlformats.org/package/2006/relationships"><Relationship Type="http://schemas.openxmlformats.org/officeDocument/2006/relationships/image" Target="/media/image.png" Id="R186024c951d24792" /></Relationships>
</file>