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dab94554046b8"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2013-14;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e3365b39746d3">
              <w:r>
                <w:rPr>
                  <w:rStyle w:val="Hyperlink"/>
                  <w:color w:val="244061"/>
                </w:rPr>
                <w:t xml:space="preserve">AIHW Data Quality Statements</w:t>
              </w:r>
            </w:hyperlink>
            <w:r>
              <w:rPr>
                <w:rStyle w:val="row-content"/>
                <w:color w:val="244061"/>
              </w:rPr>
              <w:t xml:space="preserve">, Standard 02/12/2014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w:t>
            </w:r>
          </w:p>
          <w:p>
            <w:pPr>
              <w:spacing w:after="160"/>
            </w:pPr>
            <w:r>
              <w:rPr>
                <w:rStyle w:val="row-content-rich-text"/>
              </w:rPr>
              <w:t xml:space="preserve">Number of seclusion events per 1000 bed days in specialised public mental health acute inpatient units</w:t>
            </w:r>
          </w:p>
          <w:p>
            <w:pPr>
              <w:spacing w:after="160"/>
            </w:pPr>
            <w:r>
              <w:rPr>
                <w:rStyle w:val="row-content-rich-text"/>
                <w:b/>
              </w:rPr>
              <w:t xml:space="preserve">Numerator:</w:t>
            </w:r>
          </w:p>
          <w:p>
            <w:pPr>
              <w:spacing w:after="160"/>
            </w:pPr>
            <w:r>
              <w:rPr>
                <w:rStyle w:val="row-content-rich-text"/>
              </w:rPr>
              <w:t xml:space="preserve">Number of seclusion events in specialised public mental health acute inpatient units.</w:t>
            </w:r>
          </w:p>
          <w:p>
            <w:pPr>
              <w:spacing w:after="160"/>
            </w:pPr>
            <w:r>
              <w:rPr>
                <w:rStyle w:val="row-content-rich-text"/>
                <w:b/>
              </w:rPr>
              <w:t xml:space="preserve">Denominator:</w:t>
            </w:r>
          </w:p>
          <w:p>
            <w:pPr>
              <w:spacing w:after="160"/>
            </w:pPr>
            <w:r>
              <w:rPr>
                <w:rStyle w:val="row-content-rich-text"/>
              </w:rPr>
              <w:t xml:space="preserve">Number of accrued mental health care days in specialised public mental health acute inpatient units.</w:t>
            </w:r>
          </w:p>
          <w:p>
            <w:pPr>
              <w:spacing w:after="160"/>
            </w:pPr>
            <w:r>
              <w:rPr>
                <w:rStyle w:val="row-content-rich-text"/>
                <w:b/>
              </w:rPr>
              <w:t xml:space="preserve">Computation:</w:t>
            </w:r>
          </w:p>
          <w:p>
            <w:pPr>
              <w:spacing w:after="160"/>
            </w:pPr>
            <w:r>
              <w:rPr>
                <w:rStyle w:val="row-content-rich-text"/>
              </w:rPr>
              <w:t xml:space="preserve">Expressed as a rate. Calculation is: (Numerator ÷ Denominator) x 1000.</w:t>
            </w:r>
          </w:p>
          <w:p>
            <w:pPr>
              <w:spacing w:after="160"/>
            </w:pPr>
            <w:r>
              <w:rPr>
                <w:rStyle w:val="row-content-rich-text"/>
              </w:rPr>
              <w:t xml:space="preserve"> </w:t>
            </w:r>
          </w:p>
          <w:p>
            <w:pPr>
              <w:spacing w:after="160"/>
            </w:pPr>
            <w:r>
              <w:rPr>
                <w:rStyle w:val="row-content-rich-text"/>
                <w:b/>
              </w:rPr>
              <w:t xml:space="preserve">Use of restrictive practices during admitted patient care</w:t>
            </w:r>
          </w:p>
          <w:p>
            <w:pPr>
              <w:spacing w:after="160"/>
            </w:pPr>
            <w:r>
              <w:rPr>
                <w:rStyle w:val="row-content-rich-text"/>
              </w:rPr>
              <w:t xml:space="preserve">Health Ministers endorsed the National safety priorities in mental health: a national plan for reducing harm (the Plan), Australia's first national statement about safety improvement in mental health, in 2005. The Plan identified 4 national priority areas for national action including 'reducing use of, and where possible eliminating, restraint and seclusion'.</w:t>
            </w:r>
          </w:p>
          <w:p>
            <w:pPr>
              <w:spacing w:after="160"/>
            </w:pPr>
            <w:r>
              <w:rPr>
                <w:rStyle w:val="row-content-rich-text"/>
              </w:rPr>
              <w:t xml:space="preserve">In line with the Plan, the National Mental Health Seclusion and Restraint Project (2007–2009), known as the Beacon Project, was developed as a collaborative initiative to establish demonstration sites as centres of excellence aimed towards reducing seclusion and restraint in public mental health facilities. Key to this work has been translating international lessons and initiatives to the Australian environment and the development and implementation of policies, guidelines and staff training based on good practice. Project outcomes were positive, with several Beacon sites reporting significant reductions in the use, and/or duration of seclusion, thus providing the foundation for further change.</w:t>
            </w:r>
          </w:p>
          <w:p>
            <w:pPr>
              <w:spacing w:after="160"/>
            </w:pPr>
            <w:r>
              <w:rPr>
                <w:rStyle w:val="row-content-rich-text"/>
              </w:rPr>
              <w:t xml:space="preserve">To maintain the collaborative approach and momentum from the Beacon project, states and territories agreed to host ongoing annual National Mental Health Seclusion and Restraint forums. These forums have provided opportunities to showcase initiatives, report on progress, share lessons with external stakeholders and identify areas for further focus.</w:t>
            </w:r>
          </w:p>
          <w:p>
            <w:pPr>
              <w:spacing w:after="160"/>
            </w:pPr>
            <w:r>
              <w:rPr>
                <w:rStyle w:val="row-content-rich-text"/>
              </w:rPr>
              <w:t xml:space="preserve">More recently, the National Mental Health Commission has formed a multi-disciplinary research team and core reference group of experts to examine best practice in reducing, and where possible eliminating, restraint and seclusion. The project scope is broader than the original Beacon Project, extending scrutiny beyond hospitals to the use of restrictive practices in community, custodial and ambulatory settings. Consultation with people with a lived experience and their families, clinicians and people working in services, are considered key to the national project, especially in determining the extent of restrictive practices.</w:t>
            </w:r>
          </w:p>
          <w:p>
            <w:pPr>
              <w:spacing w:after="160"/>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p>
            <w:pPr>
              <w:spacing w:after="160"/>
            </w:pPr>
            <w:r>
              <w:rPr>
                <w:rStyle w:val="row-content-rich-text"/>
              </w:rPr>
              <w:t xml:space="preserve">The Australian Health Ministers Advisory Council (AHMAC) mental health committees are in the process of formalising the current ‘ad hoc’ SQPSC seclusion data collection arrangements. The Mental Health Information Strategy Standing Committee (MHISSC) is working with AIHW to develop an aggregate seclusion and restraint Data Set Specification (DSS) to standardise the national collection of both seclusion and restraint data (and provide a more detailed data set) from the 2015–16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The Australian Institute of Health and Welfare</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the data to the AIHW via SQPSC for national collation, approximately three months after the reference period.</w:t>
            </w:r>
          </w:p>
          <w:p>
            <w:pPr/>
            <w:r>
              <w:rPr>
                <w:rStyle w:val="row-content-rich-text"/>
              </w:rPr>
              <w:t xml:space="preserve">At present, three reports have been published using the SQPSC ‘ad hoc’ seclusion data collection (see below for link to 2014 report). The first seclusion report was released on the Mental health services in Australia website in July 2013 with a reference period of 2011–12. Subsequent reports for 2012-13 and 2013-14 were released in November 2013 and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(https://mhsa.aihw.gov.au/services/admitted-patient/restrictive-practices). Additional disaggregation of the seclusion data are in this AIHW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(mhsa.aihw.gov.au/services/admitted-patient/restrictive-practices).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a new seclusion event. The term ‘seclusion event’ is utilised to differentiate it from the different definitions of ‘seclusion episodes’ used across jurisdictions.</w:t>
            </w:r>
          </w:p>
          <w:p>
            <w:pPr/>
            <w:r>
              <w:rPr>
                <w:rStyle w:val="row-content-rich-text"/>
              </w:rPr>
              <w:t xml:space="preserve">Data on seclusion events relates to all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department manages the service, for example a health department versus a correctional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tblGrid>
            <w:tr>
              <w:trPr/>
              <w:tc>
                <w:tcPr>
                  <w:tcW w:w="5000" w:type="pct"/>
                  <w:vAlign w:val="top"/>
                </w:tcPr>
                <w:p>
                  <w:pPr/>
                  <w:r>
                    <w:rPr>
                      <w:rStyle w:val="row-content-rich-text"/>
                    </w:rPr>
                    <w:t xml:space="preserve"> </w:t>
                  </w:r>
                </w:p>
              </w:tc>
            </w:tr>
          </w:tbl>
          <w:p>
            <w:r>
              <w:t xml:space="preserve">Estimated acute bed coverage for 2013–14 seclusion data was over 95% based on acute beds reported to the Mental Health Establishments National Minimum Data Set in 2012–13.</w:t>
            </w:r>
          </w:p>
          <w:p>
            <w:r>
              <w:t xml:space="preserve"> </w:t>
            </w:r>
          </w:p>
          <w:tbl>
            <w:tblPr>
              <w:tblStyle w:val="TableGrid"/>
              <w:tblW w:w="5000" w:type="pct"/>
              <w:tblLayout w:type="autofit"/>
            </w:tblPr>
            <w:tblGrid>
              <w:gridCol/>
            </w:tblGrid>
            <w:tr>
              <w:trPr/>
              <w:tc>
                <w:tcPr>
                  <w:tcW w:w="5000" w:type="pct"/>
                  <w:vAlign w:val="top"/>
                </w:tcPr>
                <w:p>
                  <w:r>
                    <w:t xml:space="preserve"> </w:t>
                  </w:r>
                </w:p>
              </w:tc>
            </w:tr>
          </w:tbl>
          <w:p>
            <w:r>
              <w:t xml:space="preserve"> </w:t>
            </w:r>
          </w:p>
          <w:p>
            <w:r>
              <w:t xml:space="preserve">Data are reported as aggregate seclusion events at the hospital level.</w:t>
            </w:r>
          </w:p>
          <w:p>
            <w:r>
              <w:t xml:space="preserve">Reported rates are derived from the included services combined total for number of seclusion events divided by their combined total for number of accrued mental health care days. This method provides an accurate indication of combined activity, ensuring that larger services are proportionally represented in the data. Previously, some reported rates were calculated from an average of the reported seclusion rates for each service, which may have utility for benchmarking purposes; however, anomalies from smaller services can disproportionately skew overall rates.</w:t>
            </w:r>
          </w:p>
          <w:p>
            <w:r>
              <w:t xml:space="preserve">Occasionally, jurisdictions re-supply data for seclusion events or number of occupied bed days. Data re-submissions are highlighted in subsequent data supplies, with updated figures reported in the next annual publication. For 2013–14, historical data were re-supplied for 2 hospitals resulting in minimal changes.</w:t>
            </w:r>
          </w:p>
          <w:p>
            <w:r>
              <w:t xml:space="preserve">Integrity of the supplied seclusion data is tested by AIHW via a series of ‘logical’ validation checks. Any missing or unusual data are clarified with the supplying jurisdiction.</w:t>
            </w:r>
          </w:p>
          <w:p>
            <w:r>
              <w:t xml:space="preserve">Some outliers (i.e. a small number of clients who have an above average number of seclusion events) are apparent in the data and have not been removed, this has the effect of ‘skewing’ the rates of seclusion for some jurisdictions.</w:t>
            </w:r>
          </w:p>
          <w:p>
            <w:r>
              <w:t xml:space="preserve">A new data element, average time in seclusion was collected for the first time for the 2013–14 collection period.  As the average time in seclusion is significantly higher for forensic units, these units were excluded from average time in seclusion calculations to provide a more realistic estimation of seclusion duration.</w:t>
            </w:r>
          </w:p>
          <w:p>
            <w:r>
              <w:t xml:space="preserve">The absence of unit record data limits the ability to undertake analysis to provide context around the incidence of seclusion events. For example, the analysis of consumer attributes which may indicate risk factors or a vulnerability to experiencing seclusion and restraint events (i.e., legal status, gender, date of birth, indigenous status, country of birth etc).</w:t>
            </w:r>
          </w:p>
          <w:p>
            <w:r>
              <w:t xml:space="preserve">In addition, identifying the timing of seclusion events within an episode of admitted patient mental health care may be informative in mitigating/pre-empting patterns in the use of restrictive practices. Some jurisdictions have the capacity to record and report this information but the lack of cross-jurisdictional consistency restricts the collection and reporting of unit record data at a national level.</w:t>
            </w:r>
          </w:p>
          <w:p>
            <w:r>
              <w:t xml:space="preserve">Within the aggregate reporting framework, collection of service unit level data is currently not feasible. Although data are collected at target population, collection at the service unit level would improve consistency and comparability with other mental health collections such as the Mental Health Establishment NMDS.</w:t>
            </w:r>
          </w:p>
          <w:p>
            <w:r>
              <w:t xml:space="preserve">The use of restrictive practices also includes restraint events. However, no national restraint data are currently reported representing a substantial data gap. The AIHW is currently working with the AHMAC mental health committees and jurisdictional representatives to develop national restraint data standards to facilitate the collection and reporting of national restraint event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Variations in jurisdictional legislation may result in exceptions to the definition of a seclusion event. Data reported by jurisdictions may not be explicitly comparable, jurisdictional comparisons should therefore be made with caution.</w:t>
            </w:r>
          </w:p>
          <w:p>
            <w:pPr>
              <w:spacing w:after="160"/>
            </w:pPr>
            <w:r>
              <w:rPr>
                <w:rStyle w:val="row-content-rich-text"/>
              </w:rPr>
              <w:t xml:space="preserve">Specific jurisdictional caveats are outlined below:</w:t>
            </w:r>
          </w:p>
          <w:p>
            <w:pPr>
              <w:spacing w:after="160"/>
            </w:pPr>
            <w:r>
              <w:rPr>
                <w:rStyle w:val="row-content-rich-text"/>
                <w:b/>
              </w:rPr>
              <w:t xml:space="preserve">New South Wales</w:t>
            </w:r>
          </w:p>
          <w:p>
            <w:pPr>
              <w:spacing w:after="160"/>
            </w:pPr>
            <w:r>
              <w:rPr>
                <w:rStyle w:val="row-content-rich-text"/>
              </w:rPr>
              <w:t xml:space="preserve">New South Wales does not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Importantly, NSW seclusion rates include bed days for some forensic services managed by correctional facilities.</w:t>
            </w:r>
          </w:p>
          <w:p>
            <w:pPr>
              <w:spacing w:after="160"/>
            </w:pPr>
            <w:r>
              <w:rPr>
                <w:rStyle w:val="row-content-rich-text"/>
                <w:b/>
              </w:rPr>
              <w:t xml:space="preserve">Victoria</w:t>
            </w:r>
          </w:p>
          <w:p>
            <w:pPr>
              <w:spacing w:after="160"/>
            </w:pPr>
            <w:r>
              <w:rPr>
                <w:rStyle w:val="row-content-rich-text"/>
              </w:rPr>
              <w:t xml:space="preserve">Both the National Beacon Projects and the Creating Safety Project supported Victorian services to review their use of seclusion and employ different strategies to support the reduction of seclusion, with targets set in the Statement of Priorities to support health services reduce seclusion events. From 2014-15 seclusion rates are included in the calculation of a Performance Assessment Score for each health service with a specialised mental health inpatient unit and ultimately the level of monitoring by the Department of Health. It is anticipated that variation between health services will improve over time following the increased emphasis on the target, introduction of a new Mental Health Act and a reduction in the use of restrictive practices.</w:t>
            </w:r>
          </w:p>
          <w:p>
            <w:pPr>
              <w:spacing w:after="160"/>
            </w:pPr>
            <w:r>
              <w:rPr>
                <w:rStyle w:val="row-content-rich-text"/>
              </w:rPr>
              <w:t xml:space="preserve">Victoria has fewer beds per capita than other jurisdictions, and as such, it may be useful to view the rate of seclusion events in a broader population context (rates per capita).  </w:t>
            </w:r>
          </w:p>
          <w:p>
            <w:pPr>
              <w:spacing w:after="160"/>
            </w:pPr>
            <w:r>
              <w:rPr>
                <w:rStyle w:val="row-content-rich-text"/>
              </w:rPr>
              <w:t xml:space="preserve">Seclusion events per 10,000 population in Victoria were 7.2 in 2011–12, 5.8 in 2012–13 and 5.5 in 2013–14.</w:t>
            </w:r>
          </w:p>
          <w:p>
            <w:pPr>
              <w:spacing w:after="160"/>
            </w:pPr>
            <w:r>
              <w:rPr>
                <w:rStyle w:val="row-content-rich-text"/>
                <w:b/>
              </w:rPr>
              <w:t xml:space="preserve">Queensland</w:t>
            </w:r>
          </w:p>
          <w:p>
            <w:pPr>
              <w:spacing w:after="160"/>
            </w:pPr>
            <w:r>
              <w:rPr>
                <w:rStyle w:val="row-content-rich-text"/>
              </w:rPr>
              <w:t xml:space="preserve">Queensland do not report any acute forensic services to the collection, however forensic patients can and do access acute care through general units.      </w:t>
            </w:r>
          </w:p>
          <w:p>
            <w:pPr>
              <w:spacing w:after="160"/>
            </w:pPr>
            <w:r>
              <w:rPr>
                <w:rStyle w:val="row-content-rich-text"/>
              </w:rPr>
              <w:t xml:space="preserve"> </w:t>
            </w:r>
          </w:p>
          <w:p>
            <w:pPr>
              <w:spacing w:after="160"/>
            </w:pPr>
            <w:r>
              <w:rPr>
                <w:rStyle w:val="row-content-rich-text"/>
                <w:b/>
              </w:rPr>
              <w:t xml:space="preserve">Western Australia</w:t>
            </w:r>
          </w:p>
          <w:p>
            <w:pPr>
              <w:spacing w:after="160"/>
            </w:pPr>
            <w:r>
              <w:rPr>
                <w:rStyle w:val="row-content-rich-text"/>
              </w:rPr>
              <w:t xml:space="preserve">It should be noted that Western Australia does not have a centralised data base for the collection of seclusion data. Services provided seclusion data from their own data bases. From 1 July 2014, the Chief Psychiatrist in WA has requested quarterly reporting of seclusion and restraint rates by all current reporting services.</w:t>
            </w:r>
          </w:p>
          <w:p>
            <w:pPr>
              <w:spacing w:after="160"/>
            </w:pPr>
            <w:r>
              <w:rPr>
                <w:rStyle w:val="row-content-rich-text"/>
              </w:rPr>
              <w:t xml:space="preserve">Western Australia reports occupied bed days rather than accrued mental health care days to the seclusion and restraint DSS. For the purpose of these analyses, occupied bed days are considered to be the same as accrued mental health care days for this jurisdiction.</w:t>
            </w:r>
          </w:p>
          <w:p>
            <w:pPr>
              <w:spacing w:after="160"/>
            </w:pPr>
            <w:r>
              <w:rPr>
                <w:rStyle w:val="row-content-rich-text"/>
                <w:b/>
              </w:rPr>
              <w:t xml:space="preserve">South Australia</w:t>
            </w:r>
          </w:p>
          <w:p>
            <w:pPr>
              <w:spacing w:after="160"/>
            </w:pPr>
            <w:r>
              <w:rPr>
                <w:rStyle w:val="row-content-rich-text"/>
              </w:rPr>
              <w:t xml:space="preserve">Recent data reporting improvements will impact on South Australian data. Importantly, bed days used to calculate South Australia’s seclusion rates are estimated based on 100% occupied bed numbers, which are fluctuating in relation to new infrastructure projects. During 2010–11, a substantial number of seclusion events in one particular hospital were for a small number of patients with over half of these patient-requested events. This may have impacted on the overall seclusion rate reported for the state for 2010–11.</w:t>
            </w:r>
          </w:p>
          <w:p>
            <w:pPr>
              <w:spacing w:after="160"/>
            </w:pPr>
            <w:r>
              <w:rPr>
                <w:rStyle w:val="row-content-rich-text"/>
              </w:rPr>
              <w:t xml:space="preserve">South Australia was unable to supply seclusion data for 2008–09. 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 increase in the state-wide Tasmanian seclusion rate for 2012–13 and 2013–14 data is due to a small number of clients having an above average number of seclusion events.</w:t>
            </w:r>
          </w:p>
          <w:p>
            <w:pPr>
              <w:spacing w:after="160"/>
            </w:pPr>
            <w:r>
              <w:rPr>
                <w:rStyle w:val="row-content-rich-text"/>
                <w:b/>
              </w:rPr>
              <w:t xml:space="preserve">Australian Capital Territory</w:t>
            </w:r>
          </w:p>
          <w:p>
            <w:pPr>
              <w:spacing w:after="160"/>
            </w:pPr>
            <w:r>
              <w:rPr>
                <w:rStyle w:val="row-content-rich-text"/>
              </w:rPr>
              <w:t xml:space="preserve">When interpreting these data, the relative small size of the Australian Capital Territory should be noted, with a total of between 60 and 70 acute inpatient beds reported between 2008–09 and 2013–14.</w:t>
            </w:r>
          </w:p>
          <w:p>
            <w:pPr>
              <w:spacing w:after="160"/>
            </w:pPr>
            <w:r>
              <w:rPr>
                <w:rStyle w:val="row-content-rich-text"/>
              </w:rPr>
              <w:t xml:space="preserve">ACT was unable to provide the number of mental health-related admitted patient care episodes with a seclusion event in 2013–14. Therefore, the proportion of episodes with a seclusion event and the average number of seclusion events per episode could not be calculated for the ACT. </w:t>
            </w:r>
          </w:p>
          <w:p>
            <w:pPr>
              <w:spacing w:after="160"/>
            </w:pPr>
            <w:r>
              <w:rPr>
                <w:rStyle w:val="row-content-rich-text"/>
              </w:rPr>
              <w:t xml:space="preserve">ACT activities initiated as part of the Beacon Site project included the implementation of a clinical review committee inclusive of clinical staff, consumers and carer representation to review episodes of seclusion for systemic issues on a case-by-case basis. This has led to a number of reforms over several years that have had a direct impact on the use of seclusion and its reduction to the low levels now reported.</w:t>
            </w:r>
          </w:p>
          <w:p>
            <w:pPr>
              <w:spacing w:after="160"/>
            </w:pPr>
            <w:r>
              <w:rPr>
                <w:rStyle w:val="row-content-rich-text"/>
              </w:rPr>
              <w:t xml:space="preserve">Work is progressive and ongoing as part of a larger process of providing a place of improved safety and security, both for people experiencing an acute episode of mental ill health leading to an inpatient admission, visitors and for the staff who work in this challenging environment.</w:t>
            </w:r>
          </w:p>
          <w:p>
            <w:pPr>
              <w:spacing w:after="160"/>
            </w:pPr>
            <w:r>
              <w:rPr>
                <w:rStyle w:val="row-content-rich-text"/>
                <w:b/>
              </w:rPr>
              <w:t xml:space="preserve">Northern Territory</w:t>
            </w:r>
          </w:p>
          <w:p>
            <w:pPr>
              <w:spacing w:after="160"/>
            </w:pPr>
            <w:r>
              <w:rPr>
                <w:rStyle w:val="row-content-rich-text"/>
              </w:rPr>
              <w:t xml:space="preserve">The Northern Territory was unable to supply seclusion data for 2008–09.</w:t>
            </w:r>
          </w:p>
          <w:p>
            <w:pPr>
              <w:spacing w:after="160"/>
            </w:pPr>
            <w:r>
              <w:rPr>
                <w:rStyle w:val="row-content-rich-text"/>
              </w:rPr>
              <w:t xml:space="preserve">The Northern Territory is unable to segregate Forensic Inpatient Episodes and Events from general events. Therefore all Northern Territory totals, wherever stated, are comprised of both General &amp; Forensic Inpatient Episodes and Events.  As this may artificially inflate Northern Territory data, caution should be used when comparing or interpreting this data. </w:t>
            </w:r>
          </w:p>
          <w:p>
            <w:pPr>
              <w:spacing w:after="160"/>
            </w:pPr>
            <w:r>
              <w:rPr>
                <w:rStyle w:val="row-content-rich-text"/>
              </w:rPr>
              <w:t xml:space="preserve">Due to the low ratio of beds per person in the Northern Territory compared with other jurisdictions, the apparent rate of seclusion is inflated when reporting seclusion per patient day compared with reporting on a population basis.</w:t>
            </w:r>
          </w:p>
          <w:p>
            <w:pPr>
              <w:spacing w:after="160"/>
            </w:pPr>
            <w:r>
              <w:rPr>
                <w:rStyle w:val="row-content-rich-text"/>
              </w:rPr>
              <w:t xml:space="preserve">Due to the low number of beds in the Northern Territory, high rates of seclusion for a few individuals have a disproportional effect on the rate of seclusion reported.</w:t>
            </w:r>
          </w:p>
          <w:p>
            <w:pPr>
              <w:spacing w:after="160"/>
            </w:pPr>
            <w:r>
              <w:rPr>
                <w:rStyle w:val="row-content-rich-text"/>
              </w:rPr>
              <w:t xml:space="preserve">Due to these variations, Northern Territory seclusion data is not directly comparable with other jurisdictions.</w:t>
            </w:r>
          </w:p>
          <w:p>
            <w:pPr>
              <w:spacing w:after="160"/>
            </w:pPr>
            <w:r>
              <w:rPr>
                <w:rStyle w:val="row-content-rich-text"/>
              </w:rPr>
              <w:t xml:space="preserve"> </w:t>
            </w:r>
          </w:p>
          <w:p>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e68ab36817462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f1f495da714f51">
              <w:r>
                <w:rPr>
                  <w:rStyle w:val="Hyperlink"/>
                </w:rPr>
                <w:t xml:space="preserve">Key Performance Indicators for Australian Public Mental Health Services: PI 15-Rate of seclusion (acute inpatient units), 2014-15; Quality statement</w:t>
              </w:r>
            </w:hyperlink>
          </w:p>
          <w:p>
            <w:pPr>
              <w:pStyle w:val="registration-status"/>
              <w:spacing w:before="0" w:after="0"/>
            </w:pPr>
            <w:hyperlink w:history="true" r:id="R3db22d6b21364e60">
              <w:r>
                <w:rPr>
                  <w:rStyle w:val="Hyperlink"/>
                  <w:color w:val="244061"/>
                </w:rPr>
                <w:t xml:space="preserve">AIHW Data Quality Statements</w:t>
              </w:r>
            </w:hyperlink>
            <w:r>
              <w:rPr>
                <w:rStyle w:val="row-content"/>
                <w:color w:val="244061"/>
              </w:rPr>
              <w:t xml:space="preserve">, Superseded 04/05/2017</w:t>
            </w:r>
          </w:p>
          <w:p>
            <w:r>
              <w:br/>
            </w:r>
          </w:p>
        </w:tc>
      </w:tr>
    </w:tbl>
    <w:p>
      <w:r>
        <w:br/>
      </w:r>
    </w:p>
    <w:sectPr>
      <w:footerReference xmlns:r="http://schemas.openxmlformats.org/officeDocument/2006/relationships" w:type="default" r:id="Re0391feac651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343aec13e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91feac6514ea5" /><Relationship Type="http://schemas.openxmlformats.org/officeDocument/2006/relationships/header" Target="/word/header1.xml" Id="R4dc4604207fe49e7" /><Relationship Type="http://schemas.openxmlformats.org/officeDocument/2006/relationships/settings" Target="/word/settings.xml" Id="R27c62964b46c4b84" /><Relationship Type="http://schemas.openxmlformats.org/officeDocument/2006/relationships/styles" Target="/word/styles.xml" Id="Rc507c1494a424b9c" /><Relationship Type="http://schemas.openxmlformats.org/officeDocument/2006/relationships/hyperlink" Target="https://meteor.aihw.gov.au/RegistrationAuthority/5" TargetMode="External" Id="R8c9e3365b39746d3" /><Relationship Type="http://schemas.openxmlformats.org/officeDocument/2006/relationships/hyperlink" Target="https://meteor.aihw.gov.au/content/246013" TargetMode="External" Id="Rc5e68ab368174627" /><Relationship Type="http://schemas.openxmlformats.org/officeDocument/2006/relationships/hyperlink" Target="https://meteor.aihw.gov.au/content/624018" TargetMode="External" Id="R93f1f495da714f51" /><Relationship Type="http://schemas.openxmlformats.org/officeDocument/2006/relationships/hyperlink" Target="https://meteor.aihw.gov.au/RegistrationAuthority/5" TargetMode="External" Id="R3db22d6b21364e60" /></Relationships>
</file>

<file path=word/_rels/header1.xml.rels>&#65279;<?xml version="1.0" encoding="utf-8"?><Relationships xmlns="http://schemas.openxmlformats.org/package/2006/relationships"><Relationship Type="http://schemas.openxmlformats.org/officeDocument/2006/relationships/image" Target="/media/image.png" Id="R9c0343aec13e4813" /></Relationships>
</file>