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13a735727d4489"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Allied health practitioners 2013: National Health Workforce Data Set, 2013;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Allied health practitioners 2013: National Health Workforce Data Set, 2013;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c6913fa344cc5">
              <w:r>
                <w:rPr>
                  <w:rStyle w:val="Hyperlink"/>
                  <w:color w:val="244061"/>
                </w:rPr>
                <w:t xml:space="preserve">AIHW Data Quality Statements</w:t>
              </w:r>
            </w:hyperlink>
            <w:r>
              <w:rPr>
                <w:rStyle w:val="row-content"/>
                <w:color w:val="244061"/>
              </w:rPr>
              <w:t xml:space="preserve">, Standard 11/12/2014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National Health Workforce Data Set (NHWDS) 2013 contains information on the demographics, employment characteristics, primary work location and work activity of all health practitioners in Australia who renewed their registration with their respective health profession board via the National Registration and Accreditation Scheme (NRAS) introduced on 1 July 2010.</w:t>
            </w:r>
            <w:r>
              <w:br/>
            </w:r>
            <w:r>
              <w:rPr>
                <w:rStyle w:val="row-content-rich-text"/>
              </w:rPr>
              <w:t xml:space="preserve">This is the third year of data from the NRAS. The data set comprises registration information provided by the Australian Health Practitioner Regulation Agency (AHPRA) and workforce details obtained by surveys.</w:t>
            </w:r>
            <w:r>
              <w:br/>
            </w:r>
            <w:r>
              <w:rPr>
                <w:rStyle w:val="row-content-rich-text"/>
              </w:rPr>
              <w:t xml:space="preserve">This data quality statement should be read in conjunction with the footnotes and commentary accompanying tables and graphs throughout the publication.</w:t>
            </w:r>
          </w:p>
          <w:p>
            <w:pPr/>
            <w:r>
              <w:rPr>
                <w:rStyle w:val="row-content-rich-text"/>
              </w:rPr>
              <w:t xml:space="preserve">The AIHW NHWDS 2013 is a combination of data collected through the practitioner registration renewal process.</w:t>
            </w:r>
            <w:r>
              <w:br/>
            </w:r>
            <w:r>
              <w:rPr>
                <w:rStyle w:val="row-content-rich-text"/>
              </w:rPr>
              <w:t xml:space="preserve">Registration data</w:t>
            </w:r>
            <w:r>
              <w:br/>
            </w:r>
            <w:r>
              <w:rPr>
                <w:rStyle w:val="row-content-rich-text"/>
              </w:rPr>
              <w:t xml:space="preserve">Psychologists, pharmacists, physiotherapists, dentists, dental hygienists, dental prosthetists, dental therapists, oral health therapists, occupational therapists, medical radiation practitioners, chiropractors, optometrists, Chinese medicine practitioners, podiatrists, osteopaths and Aboriginal and Torres Strait Islander health practitioners must be registered with the AHPRA to practise in Australia. This applies to both those who trained in Australia and overseas.</w:t>
            </w:r>
            <w:r>
              <w:br/>
            </w:r>
            <w:r>
              <w:rPr>
                <w:rStyle w:val="row-content-rich-text"/>
              </w:rPr>
              <w:t xml:space="preserve">Those practitioners who are not required by their employer to use the title Aboriginal and Torres Strait Islander health practitioner, Aboriginal health practitioner or Torres Strait Islander health practitioner, are not required to be registered, and will still be able to continue to work, using their existing titles (for example, Aboriginal Health Worker, Drug and Alcohol Worker, Mental Health Worker, and so on).  See &lt;</w:t>
            </w:r>
            <w:hyperlink w:history="true" r:id="Rcb608c94b1e84098">
              <w:r>
                <w:rPr>
                  <w:rStyle w:val="Hyperlink"/>
                </w:rPr>
                <w:t xml:space="preserve">http://www.atsihealthpracticeboard.gov.au/Codes-Guidelines/FAQ/Registration-and-how-to-apply.aspx</w:t>
              </w:r>
            </w:hyperlink>
            <w:r>
              <w:rPr>
                <w:rStyle w:val="row-content-rich-text"/>
              </w:rPr>
              <w:t xml:space="preserve">&gt;</w:t>
            </w:r>
            <w:r>
              <w:br/>
            </w:r>
            <w:r>
              <w:rPr>
                <w:rStyle w:val="row-content-rich-text"/>
              </w:rPr>
              <w:t xml:space="preserve">Practitioners can renew their registration through the NRAS, either online via the AHPRA website or using a paper form provided by the AHPRA. For initial registration, practitioners must use a paper form and provide supplementary supporting documentation. Limited and provisional registrations also complete paper forms.</w:t>
            </w:r>
            <w:r>
              <w:br/>
            </w:r>
            <w:r>
              <w:rPr>
                <w:rStyle w:val="row-content-rich-text"/>
              </w:rPr>
              <w:t xml:space="preserve">Whether for initial registration or renewal, this information is referred to as ‘registration data’. Data collected include demographic information such as age, sex, country of birth, details of health qualification(s) and registration status. This is the compulsory component of the registration process.</w:t>
            </w:r>
            <w:r>
              <w:br/>
            </w:r>
            <w:r>
              <w:rPr>
                <w:rStyle w:val="row-content-rich-text"/>
              </w:rPr>
              <w:t xml:space="preserve">The majority of health professionals are due to renew their registration on 30 November each year. Provisional and limited registrants renew on the anniversary of their last registration/renewal.</w:t>
            </w:r>
            <w:r>
              <w:br/>
            </w:r>
            <w:r>
              <w:rPr>
                <w:rStyle w:val="row-content-rich-text"/>
              </w:rPr>
              <w:t xml:space="preserve">Registration details on AIHW NHWDS 2013 were collected either from the compulsory registration renewal form, new registrations or registration details migrated from the respective state and territory health boards before their dissolution. Copies of registration forms for new registrants are available on the relevant board websites which can be accessed from the AHPRA website (&lt;</w:t>
            </w:r>
            <w:hyperlink w:history="true" r:id="Ra10e2d80111b4ecd">
              <w:r>
                <w:rPr>
                  <w:rStyle w:val="Hyperlink"/>
                </w:rPr>
                <w:t xml:space="preserve">http://www.ahpra.gov.au/</w:t>
              </w:r>
            </w:hyperlink>
            <w:r>
              <w:rPr>
                <w:rStyle w:val="row-content-rich-text"/>
              </w:rPr>
              <w:t xml:space="preserve">&gt;).</w:t>
            </w:r>
            <w:r>
              <w:br/>
            </w:r>
            <w:r>
              <w:rPr>
                <w:rStyle w:val="row-content-rich-text"/>
              </w:rPr>
              <w:t xml:space="preserve">Survey data</w:t>
            </w:r>
            <w:r>
              <w:br/>
            </w:r>
            <w:r>
              <w:rPr>
                <w:rStyle w:val="row-content-rich-text"/>
              </w:rPr>
              <w:t xml:space="preserve">When practitioners renew their registration online they are asked to complete an online survey customised for each profession. Copies of the survey forms are available at &lt;</w:t>
            </w:r>
            <w:hyperlink w:history="true" r:id="R60a02c652a2a47e6">
              <w:r>
                <w:rPr>
                  <w:rStyle w:val="Hyperlink"/>
                </w:rPr>
                <w:t xml:space="preserve">http://www.aihw.gov.au/workforce</w:t>
              </w:r>
            </w:hyperlink>
            <w:r>
              <w:rPr>
                <w:rStyle w:val="row-content-rich-text"/>
              </w:rPr>
              <w:t xml:space="preserve">&gt;.</w:t>
            </w:r>
            <w:r>
              <w:br/>
            </w:r>
            <w:r>
              <w:rPr>
                <w:rStyle w:val="row-content-rich-text"/>
              </w:rPr>
              <w:t xml:space="preserve">Database creation</w:t>
            </w:r>
            <w:r>
              <w:br/>
            </w:r>
            <w:r>
              <w:rPr>
                <w:rStyle w:val="row-content-rich-text"/>
              </w:rPr>
              <w:t xml:space="preserve">AHPRA stores both online registration data and survey information in separate databases. They send the two data sets (in de-identified form) to the AIHW, where they are merged into a national data set.</w:t>
            </w:r>
            <w:r>
              <w:br/>
            </w:r>
            <w:r>
              <w:rPr>
                <w:rStyle w:val="row-content-rich-text"/>
              </w:rPr>
              <w:t xml:space="preserve">When practitioners renew their registration using a paper form they are also asked to complete a paper version of the relevant survey. The paper registration and survey forms are sent to AHPRA. AIHW processes the data and the final data set is known as the National Health Workforce Data Set (NHWDS).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r>
              <w:br/>
            </w: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 For further information, see the AIHW website at &lt;</w:t>
            </w:r>
            <w:hyperlink w:history="true" r:id="R836c8fe0443a4bc5">
              <w:r>
                <w:rPr>
                  <w:rStyle w:val="Hyperlink"/>
                </w:rPr>
                <w:t xml:space="preserve">http://www.aihw.gov.au</w:t>
              </w:r>
            </w:hyperlink>
            <w:r>
              <w:rPr>
                <w:rStyle w:val="row-content-rich-text"/>
              </w:rPr>
              <w:t xml:space="preserve">&gt;.</w:t>
            </w:r>
            <w:r>
              <w:br/>
            </w:r>
            <w:r>
              <w:rPr>
                <w:rStyle w:val="row-content-rich-text"/>
              </w:rPr>
              <w:t xml:space="preserve">AHPRA is the organisation responsible for the implementation of the NRAS across Australia. AHPRA works with the National Health Practitioner Boards to regulate health practitioners in the public interest and to ensure a competent and flexible health workforce that meets the current and future needs of the Australian community.</w:t>
            </w:r>
            <w:r>
              <w:br/>
            </w:r>
            <w:r>
              <w:rPr>
                <w:rStyle w:val="row-content-rich-text"/>
              </w:rPr>
              <w:t xml:space="preserve">The AIHW receives registration information on health practitioners via the mandatory national registration process administered by the AHPRA and voluntary survey data collected at the time of registration renewal. The registration and survey data are combined, and processed to form the AIHW NHWDS 2013. The AIHW is the data custodian of the AIHW NHWDS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NHWDS, is produced annually from the national registration renewal process, and conducted between 1 October and 30 November (the renewal date) each year. While the reference time is notionally the renewal date, legislation allows for a 1 month period of grace. Thus, the final registration closure date is 1 month after the renewal date. The AHPRA allow a further 2 weeks to allow for mail and data entry delays before the registrations are considered expired. Consequently the extraction of data occurs (the extraction date) a month and a half after the renewal date.</w:t>
            </w:r>
            <w:r>
              <w:br/>
            </w:r>
            <w:r>
              <w:rPr>
                <w:rStyle w:val="row-content-rich-text"/>
              </w:rPr>
              <w:t xml:space="preserve">The survey data are also collected between 1 October and 30 November, as the surveys are administered as part of the registration renewal process.</w:t>
            </w:r>
            <w:r>
              <w:br/>
            </w:r>
            <w:r>
              <w:rPr>
                <w:rStyle w:val="row-content-rich-text"/>
              </w:rPr>
              <w:t xml:space="preserve">The exceptions to this timetable are in relation to limited and provisional registrations, where registration is renewed on the anniversary of commencement. Limited and provisional registration renewals are given paper forms only. These responses are included with the regular survey responses.</w:t>
            </w:r>
            <w:r>
              <w:br/>
            </w:r>
            <w:r>
              <w:rPr>
                <w:rStyle w:val="row-content-rich-text"/>
              </w:rPr>
              <w:t xml:space="preserve">AIHW received the electronic and registration data in January, while complete data (i.e. including the paper forms) were received at the end of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from the AIHW NHWDS 2013 are released on the AIHW website in a series of workforce web pages. Workforce survey questionnaires and detailed tables are available on the AIHW website at </w:t>
            </w:r>
            <w:hyperlink w:history="true" r:id="R222b50bd07bd406e">
              <w:r>
                <w:rPr>
                  <w:rStyle w:val="Hyperlink"/>
                </w:rPr>
                <w:t xml:space="preserve">http://www.aihw.gov.au/workforce</w:t>
              </w:r>
            </w:hyperlink>
            <w:r>
              <w:rPr>
                <w:rStyle w:val="row-content-rich-text"/>
              </w:rPr>
              <w:t xml:space="preserve"> .</w:t>
            </w:r>
            <w:r>
              <w:br/>
            </w:r>
            <w:r>
              <w:rPr>
                <w:rStyle w:val="row-content-rich-text"/>
              </w:rPr>
              <w:t xml:space="preserve">Users can request data not available online or in reports via the Communications, Media and Marketing Unit on (02) 6244 1032 or via email to </w:t>
            </w:r>
            <w:hyperlink w:history="true" r:id="Rb350f251f6784ea5">
              <w:r>
                <w:rPr>
                  <w:rStyle w:val="Hyperlink"/>
                </w:rPr>
                <w:t xml:space="preserve">info@aihw.gov.au</w:t>
              </w:r>
            </w:hyperlink>
            <w:r>
              <w:rPr>
                <w:rStyle w:val="row-content-rich-text"/>
              </w:rPr>
              <w:t xml:space="preserve">. Requests that take longer than half an hour to compile are charged for on a cost-recovery basis.</w:t>
            </w:r>
            <w:r>
              <w:br/>
            </w:r>
            <w:r>
              <w:rPr>
                <w:rStyle w:val="row-content-rich-text"/>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Descriptions of data items in the AIHW NHWDS 2013 are available on request from the Expenditure and Workforce Unit at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purpose of the AIHW NHWDS 2013 is to provide information on the number and demographic and employment characteristics of the each of the following health practitioners:</w:t>
            </w:r>
            <w:r>
              <w:br/>
            </w:r>
            <w:r>
              <w:rPr>
                <w:rStyle w:val="row-content-rich-text"/>
              </w:rPr>
              <w:t xml:space="preserve">• Psychologists</w:t>
            </w:r>
            <w:r>
              <w:br/>
            </w:r>
            <w:r>
              <w:rPr>
                <w:rStyle w:val="row-content-rich-text"/>
              </w:rPr>
              <w:t xml:space="preserve">• Pharmacists</w:t>
            </w:r>
            <w:r>
              <w:br/>
            </w:r>
            <w:r>
              <w:rPr>
                <w:rStyle w:val="row-content-rich-text"/>
              </w:rPr>
              <w:t xml:space="preserve">• Physiotherapists</w:t>
            </w:r>
            <w:r>
              <w:br/>
            </w:r>
            <w:r>
              <w:rPr>
                <w:rStyle w:val="row-content-rich-text"/>
              </w:rPr>
              <w:t xml:space="preserve">• Dentists</w:t>
            </w:r>
            <w:r>
              <w:br/>
            </w:r>
            <w:r>
              <w:rPr>
                <w:rStyle w:val="row-content-rich-text"/>
              </w:rPr>
              <w:t xml:space="preserve">• Dental hygienists</w:t>
            </w:r>
            <w:r>
              <w:br/>
            </w:r>
            <w:r>
              <w:rPr>
                <w:rStyle w:val="row-content-rich-text"/>
              </w:rPr>
              <w:t xml:space="preserve">• Dental prosthetists </w:t>
            </w:r>
            <w:r>
              <w:br/>
            </w:r>
            <w:r>
              <w:rPr>
                <w:rStyle w:val="row-content-rich-text"/>
              </w:rPr>
              <w:t xml:space="preserve">• Dental therapists</w:t>
            </w:r>
            <w:r>
              <w:br/>
            </w:r>
            <w:r>
              <w:rPr>
                <w:rStyle w:val="row-content-rich-text"/>
              </w:rPr>
              <w:t xml:space="preserve">• Oral health therapists</w:t>
            </w:r>
            <w:r>
              <w:br/>
            </w:r>
            <w:r>
              <w:rPr>
                <w:rStyle w:val="row-content-rich-text"/>
              </w:rPr>
              <w:t xml:space="preserve">• Occupational therapists</w:t>
            </w:r>
            <w:r>
              <w:br/>
            </w:r>
            <w:r>
              <w:rPr>
                <w:rStyle w:val="row-content-rich-text"/>
              </w:rPr>
              <w:t xml:space="preserve">• Medical radiation practitioners</w:t>
            </w:r>
            <w:r>
              <w:br/>
            </w:r>
            <w:r>
              <w:rPr>
                <w:rStyle w:val="row-content-rich-text"/>
              </w:rPr>
              <w:t xml:space="preserve">• Chiropractors</w:t>
            </w:r>
            <w:r>
              <w:br/>
            </w:r>
            <w:r>
              <w:rPr>
                <w:rStyle w:val="row-content-rich-text"/>
              </w:rPr>
              <w:t xml:space="preserve">• Optometrists</w:t>
            </w:r>
            <w:r>
              <w:br/>
            </w:r>
            <w:r>
              <w:rPr>
                <w:rStyle w:val="row-content-rich-text"/>
              </w:rPr>
              <w:t xml:space="preserve">• Chinese medicine practitioners</w:t>
            </w:r>
            <w:r>
              <w:br/>
            </w:r>
            <w:r>
              <w:rPr>
                <w:rStyle w:val="row-content-rich-text"/>
              </w:rPr>
              <w:t xml:space="preserve">• Podiatrists</w:t>
            </w:r>
            <w:r>
              <w:br/>
            </w:r>
            <w:r>
              <w:rPr>
                <w:rStyle w:val="row-content-rich-text"/>
              </w:rPr>
              <w:t xml:space="preserve">• Osteopaths</w:t>
            </w:r>
            <w:r>
              <w:br/>
            </w:r>
            <w:r>
              <w:rPr>
                <w:rStyle w:val="row-content-rich-text"/>
              </w:rPr>
              <w:t xml:space="preserve">• Aboriginal and Torres Strait Islander health practitioners.</w:t>
            </w:r>
            <w:r>
              <w:br/>
            </w:r>
            <w:r>
              <w:rPr>
                <w:rStyle w:val="row-content-rich-text"/>
              </w:rPr>
              <w:t xml:space="preserve">The AIHW NHWDS 2013 describes the size and characteristics of the health workforce in Australia. It is of interest to health agencies involved in workforce planning, as well as health policy planning and implementation in general.</w:t>
            </w:r>
            <w:r>
              <w:br/>
            </w:r>
            <w:r>
              <w:rPr>
                <w:rStyle w:val="row-content-rich-text"/>
              </w:rPr>
              <w:t xml:space="preserve">The location and distribution of the workforce, plus demographic details such as age and sex of practitioners, are relevant to workforce planning within states, territories and nationally. Information on qualifications is of use to the relevant professional associations and for educational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response rates for each of the profession surveys are listed in Table 1.</w:t>
            </w:r>
            <w:r>
              <w:br/>
            </w:r>
            <w:r>
              <w:rPr>
                <w:rStyle w:val="row-content-rich-text"/>
              </w:rPr>
              <w:t xml:space="preserve">Table 1:  Survey response rates, states and territories, 2013</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tblGrid>
            <w:tr>
              <w:trPr/>
              <w:tc>
                <w:tcPr>
                  <w:tcW w:w="1650" w:type="pct"/>
                  <w:vAlign w:val="top"/>
                </w:tcPr>
                <w:p>
                  <w:pPr/>
                  <w:r>
                    <w:rPr>
                      <w:rStyle w:val="row-content-rich-text"/>
                      <w:b/>
                    </w:rPr>
                    <w:t xml:space="preserve"> </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350" w:type="pct"/>
                  <w:vAlign w:val="top"/>
                </w:tcPr>
                <w:p>
                  <w:r>
                    <w:rPr>
                      <w:b/>
                    </w:rPr>
                    <w:t xml:space="preserve">ACT</w:t>
                  </w:r>
                </w:p>
              </w:tc>
              <w:tc>
                <w:tcPr>
                  <w:tcW w:w="350" w:type="pct"/>
                  <w:vAlign w:val="top"/>
                </w:tcPr>
                <w:p>
                  <w:r>
                    <w:rPr>
                      <w:b/>
                    </w:rPr>
                    <w:t xml:space="preserve">NT</w:t>
                  </w:r>
                </w:p>
              </w:tc>
              <w:tc>
                <w:tcPr>
                  <w:tcW w:w="400" w:type="pct"/>
                  <w:vAlign w:val="top"/>
                </w:tcPr>
                <w:p>
                  <w:r>
                    <w:rPr>
                      <w:b/>
                    </w:rPr>
                    <w:t xml:space="preserve">Australia</w:t>
                  </w:r>
                  <w:r>
                    <w:rPr>
                      <w:b/>
                      <w:vertAlign w:val="superscript"/>
                    </w:rPr>
                    <w:t xml:space="preserve">(a)</w:t>
                  </w:r>
                </w:p>
              </w:tc>
            </w:tr>
            <w:tr>
              <w:trPr/>
              <w:tc>
                <w:tcPr>
                  <w:tcW w:w="1650" w:type="pct"/>
                  <w:vAlign w:val="top"/>
                </w:tcPr>
                <w:p>
                  <w:r>
                    <w:t xml:space="preserve">Psychologists</w:t>
                  </w:r>
                </w:p>
              </w:tc>
              <w:tc>
                <w:tcPr>
                  <w:tcW w:w="350" w:type="pct"/>
                  <w:vAlign w:val="top"/>
                </w:tcPr>
                <w:p>
                  <w:r>
                    <w:t xml:space="preserve">85.8</w:t>
                  </w:r>
                </w:p>
              </w:tc>
              <w:tc>
                <w:tcPr>
                  <w:tcW w:w="350" w:type="pct"/>
                  <w:vAlign w:val="top"/>
                </w:tcPr>
                <w:p>
                  <w:r>
                    <w:t xml:space="preserve">82.8  </w:t>
                  </w:r>
                </w:p>
              </w:tc>
              <w:tc>
                <w:tcPr>
                  <w:tcW w:w="350" w:type="pct"/>
                  <w:vAlign w:val="top"/>
                </w:tcPr>
                <w:p>
                  <w:r>
                    <w:t xml:space="preserve">83.4  </w:t>
                  </w:r>
                </w:p>
              </w:tc>
              <w:tc>
                <w:tcPr>
                  <w:tcW w:w="350" w:type="pct"/>
                  <w:vAlign w:val="top"/>
                </w:tcPr>
                <w:p>
                  <w:r>
                    <w:t xml:space="preserve">81.9  </w:t>
                  </w:r>
                </w:p>
              </w:tc>
              <w:tc>
                <w:tcPr>
                  <w:tcW w:w="350" w:type="pct"/>
                  <w:vAlign w:val="top"/>
                </w:tcPr>
                <w:p>
                  <w:r>
                    <w:t xml:space="preserve">85.2</w:t>
                  </w:r>
                </w:p>
              </w:tc>
              <w:tc>
                <w:tcPr>
                  <w:tcW w:w="350" w:type="pct"/>
                  <w:vAlign w:val="top"/>
                </w:tcPr>
                <w:p>
                  <w:r>
                    <w:t xml:space="preserve">86.0</w:t>
                  </w:r>
                </w:p>
              </w:tc>
              <w:tc>
                <w:tcPr>
                  <w:tcW w:w="350" w:type="pct"/>
                  <w:vAlign w:val="top"/>
                </w:tcPr>
                <w:p>
                  <w:r>
                    <w:t xml:space="preserve">84.2</w:t>
                  </w:r>
                </w:p>
              </w:tc>
              <w:tc>
                <w:tcPr>
                  <w:tcW w:w="350" w:type="pct"/>
                  <w:vAlign w:val="top"/>
                </w:tcPr>
                <w:p>
                  <w:r>
                    <w:t xml:space="preserve">86.9</w:t>
                  </w:r>
                </w:p>
              </w:tc>
              <w:tc>
                <w:tcPr>
                  <w:tcW w:w="400" w:type="pct"/>
                  <w:vAlign w:val="top"/>
                </w:tcPr>
                <w:p>
                  <w:r>
                    <w:t xml:space="preserve">84.2</w:t>
                  </w:r>
                </w:p>
              </w:tc>
            </w:tr>
            <w:tr>
              <w:trPr/>
              <w:tc>
                <w:tcPr>
                  <w:tcW w:w="1650" w:type="pct"/>
                  <w:vAlign w:val="top"/>
                </w:tcPr>
                <w:p>
                  <w:r>
                    <w:t xml:space="preserve">Pharmacists</w:t>
                  </w:r>
                </w:p>
              </w:tc>
              <w:tc>
                <w:tcPr>
                  <w:tcW w:w="350" w:type="pct"/>
                  <w:vAlign w:val="top"/>
                </w:tcPr>
                <w:p>
                  <w:r>
                    <w:t xml:space="preserve">86.1</w:t>
                  </w:r>
                </w:p>
              </w:tc>
              <w:tc>
                <w:tcPr>
                  <w:tcW w:w="350" w:type="pct"/>
                  <w:vAlign w:val="top"/>
                </w:tcPr>
                <w:p>
                  <w:r>
                    <w:t xml:space="preserve">87.6</w:t>
                  </w:r>
                </w:p>
              </w:tc>
              <w:tc>
                <w:tcPr>
                  <w:tcW w:w="350" w:type="pct"/>
                  <w:vAlign w:val="top"/>
                </w:tcPr>
                <w:p>
                  <w:r>
                    <w:t xml:space="preserve">85.8</w:t>
                  </w:r>
                </w:p>
              </w:tc>
              <w:tc>
                <w:tcPr>
                  <w:tcW w:w="350" w:type="pct"/>
                  <w:vAlign w:val="top"/>
                </w:tcPr>
                <w:p>
                  <w:r>
                    <w:t xml:space="preserve">87.9</w:t>
                  </w:r>
                </w:p>
              </w:tc>
              <w:tc>
                <w:tcPr>
                  <w:tcW w:w="350" w:type="pct"/>
                  <w:vAlign w:val="top"/>
                </w:tcPr>
                <w:p>
                  <w:r>
                    <w:t xml:space="preserve">85.1</w:t>
                  </w:r>
                </w:p>
              </w:tc>
              <w:tc>
                <w:tcPr>
                  <w:tcW w:w="350" w:type="pct"/>
                  <w:vAlign w:val="top"/>
                </w:tcPr>
                <w:p>
                  <w:r>
                    <w:t xml:space="preserve">83.8</w:t>
                  </w:r>
                </w:p>
              </w:tc>
              <w:tc>
                <w:tcPr>
                  <w:tcW w:w="350" w:type="pct"/>
                  <w:vAlign w:val="top"/>
                </w:tcPr>
                <w:p>
                  <w:r>
                    <w:t xml:space="preserve">88.8</w:t>
                  </w:r>
                </w:p>
              </w:tc>
              <w:tc>
                <w:tcPr>
                  <w:tcW w:w="350" w:type="pct"/>
                  <w:vAlign w:val="top"/>
                </w:tcPr>
                <w:p>
                  <w:r>
                    <w:t xml:space="preserve">85.8</w:t>
                  </w:r>
                </w:p>
              </w:tc>
              <w:tc>
                <w:tcPr>
                  <w:tcW w:w="400" w:type="pct"/>
                  <w:vAlign w:val="top"/>
                </w:tcPr>
                <w:p>
                  <w:r>
                    <w:t xml:space="preserve">86.6</w:t>
                  </w:r>
                </w:p>
              </w:tc>
            </w:tr>
            <w:tr>
              <w:trPr/>
              <w:tc>
                <w:tcPr>
                  <w:tcW w:w="1650" w:type="pct"/>
                  <w:vAlign w:val="top"/>
                </w:tcPr>
                <w:p>
                  <w:r>
                    <w:t xml:space="preserve">Physiotherapists</w:t>
                  </w:r>
                </w:p>
              </w:tc>
              <w:tc>
                <w:tcPr>
                  <w:tcW w:w="350" w:type="pct"/>
                  <w:vAlign w:val="top"/>
                </w:tcPr>
                <w:p>
                  <w:r>
                    <w:t xml:space="preserve">92.7</w:t>
                  </w:r>
                </w:p>
              </w:tc>
              <w:tc>
                <w:tcPr>
                  <w:tcW w:w="350" w:type="pct"/>
                  <w:vAlign w:val="top"/>
                </w:tcPr>
                <w:p>
                  <w:r>
                    <w:t xml:space="preserve">91.8</w:t>
                  </w:r>
                </w:p>
              </w:tc>
              <w:tc>
                <w:tcPr>
                  <w:tcW w:w="350" w:type="pct"/>
                  <w:vAlign w:val="top"/>
                </w:tcPr>
                <w:p>
                  <w:r>
                    <w:t xml:space="preserve">91.2</w:t>
                  </w:r>
                </w:p>
              </w:tc>
              <w:tc>
                <w:tcPr>
                  <w:tcW w:w="350" w:type="pct"/>
                  <w:vAlign w:val="top"/>
                </w:tcPr>
                <w:p>
                  <w:r>
                    <w:t xml:space="preserve">90.6</w:t>
                  </w:r>
                </w:p>
              </w:tc>
              <w:tc>
                <w:tcPr>
                  <w:tcW w:w="350" w:type="pct"/>
                  <w:vAlign w:val="top"/>
                </w:tcPr>
                <w:p>
                  <w:r>
                    <w:t xml:space="preserve">89.5</w:t>
                  </w:r>
                </w:p>
              </w:tc>
              <w:tc>
                <w:tcPr>
                  <w:tcW w:w="350" w:type="pct"/>
                  <w:vAlign w:val="top"/>
                </w:tcPr>
                <w:p>
                  <w:r>
                    <w:t xml:space="preserve">95.5</w:t>
                  </w:r>
                </w:p>
              </w:tc>
              <w:tc>
                <w:tcPr>
                  <w:tcW w:w="350" w:type="pct"/>
                  <w:vAlign w:val="top"/>
                </w:tcPr>
                <w:p>
                  <w:r>
                    <w:t xml:space="preserve">95.9</w:t>
                  </w:r>
                </w:p>
              </w:tc>
              <w:tc>
                <w:tcPr>
                  <w:tcW w:w="350" w:type="pct"/>
                  <w:vAlign w:val="top"/>
                </w:tcPr>
                <w:p>
                  <w:r>
                    <w:t xml:space="preserve">93.2</w:t>
                  </w:r>
                </w:p>
              </w:tc>
              <w:tc>
                <w:tcPr>
                  <w:tcW w:w="400" w:type="pct"/>
                  <w:vAlign w:val="top"/>
                </w:tcPr>
                <w:p>
                  <w:r>
                    <w:t xml:space="preserve">91.8</w:t>
                  </w:r>
                </w:p>
              </w:tc>
            </w:tr>
            <w:tr>
              <w:trPr/>
              <w:tc>
                <w:tcPr>
                  <w:tcW w:w="1650" w:type="pct"/>
                  <w:vAlign w:val="top"/>
                </w:tcPr>
                <w:p>
                  <w:r>
                    <w:t xml:space="preserve">Dentists</w:t>
                  </w:r>
                </w:p>
              </w:tc>
              <w:tc>
                <w:tcPr>
                  <w:tcW w:w="350" w:type="pct"/>
                  <w:vAlign w:val="top"/>
                </w:tcPr>
                <w:p>
                  <w:r>
                    <w:t xml:space="preserve">91.4</w:t>
                  </w:r>
                </w:p>
              </w:tc>
              <w:tc>
                <w:tcPr>
                  <w:tcW w:w="350" w:type="pct"/>
                  <w:vAlign w:val="top"/>
                </w:tcPr>
                <w:p>
                  <w:r>
                    <w:t xml:space="preserve">90.1</w:t>
                  </w:r>
                </w:p>
              </w:tc>
              <w:tc>
                <w:tcPr>
                  <w:tcW w:w="350" w:type="pct"/>
                  <w:vAlign w:val="top"/>
                </w:tcPr>
                <w:p>
                  <w:r>
                    <w:t xml:space="preserve">89.2</w:t>
                  </w:r>
                </w:p>
              </w:tc>
              <w:tc>
                <w:tcPr>
                  <w:tcW w:w="350" w:type="pct"/>
                  <w:vAlign w:val="top"/>
                </w:tcPr>
                <w:p>
                  <w:r>
                    <w:t xml:space="preserve">89.2</w:t>
                  </w:r>
                </w:p>
              </w:tc>
              <w:tc>
                <w:tcPr>
                  <w:tcW w:w="350" w:type="pct"/>
                  <w:vAlign w:val="top"/>
                </w:tcPr>
                <w:p>
                  <w:r>
                    <w:t xml:space="preserve">88.8</w:t>
                  </w:r>
                </w:p>
              </w:tc>
              <w:tc>
                <w:tcPr>
                  <w:tcW w:w="350" w:type="pct"/>
                  <w:vAlign w:val="top"/>
                </w:tcPr>
                <w:p>
                  <w:r>
                    <w:t xml:space="preserve">89.9</w:t>
                  </w:r>
                </w:p>
              </w:tc>
              <w:tc>
                <w:tcPr>
                  <w:tcW w:w="350" w:type="pct"/>
                  <w:vAlign w:val="top"/>
                </w:tcPr>
                <w:p>
                  <w:r>
                    <w:t xml:space="preserve">94.1</w:t>
                  </w:r>
                </w:p>
              </w:tc>
              <w:tc>
                <w:tcPr>
                  <w:tcW w:w="350" w:type="pct"/>
                  <w:vAlign w:val="top"/>
                </w:tcPr>
                <w:p>
                  <w:r>
                    <w:t xml:space="preserve">92.4</w:t>
                  </w:r>
                </w:p>
              </w:tc>
              <w:tc>
                <w:tcPr>
                  <w:tcW w:w="400" w:type="pct"/>
                  <w:vAlign w:val="top"/>
                </w:tcPr>
                <w:p>
                  <w:r>
                    <w:t xml:space="preserve">90.0</w:t>
                  </w:r>
                </w:p>
              </w:tc>
            </w:tr>
            <w:tr>
              <w:trPr/>
              <w:tc>
                <w:tcPr>
                  <w:tcW w:w="1650" w:type="pct"/>
                  <w:vAlign w:val="top"/>
                </w:tcPr>
                <w:p>
                  <w:r>
                    <w:t xml:space="preserve">Dental hygienists</w:t>
                  </w:r>
                </w:p>
              </w:tc>
              <w:tc>
                <w:tcPr>
                  <w:tcW w:w="350" w:type="pct"/>
                  <w:vAlign w:val="top"/>
                </w:tcPr>
                <w:p>
                  <w:r>
                    <w:t xml:space="preserve">93.0</w:t>
                  </w:r>
                </w:p>
              </w:tc>
              <w:tc>
                <w:tcPr>
                  <w:tcW w:w="350" w:type="pct"/>
                  <w:vAlign w:val="top"/>
                </w:tcPr>
                <w:p>
                  <w:r>
                    <w:t xml:space="preserve">94.0</w:t>
                  </w:r>
                </w:p>
              </w:tc>
              <w:tc>
                <w:tcPr>
                  <w:tcW w:w="350" w:type="pct"/>
                  <w:vAlign w:val="top"/>
                </w:tcPr>
                <w:p>
                  <w:r>
                    <w:t xml:space="preserve">95.5</w:t>
                  </w:r>
                </w:p>
              </w:tc>
              <w:tc>
                <w:tcPr>
                  <w:tcW w:w="350" w:type="pct"/>
                  <w:vAlign w:val="top"/>
                </w:tcPr>
                <w:p>
                  <w:r>
                    <w:t xml:space="preserve">95.8</w:t>
                  </w:r>
                </w:p>
              </w:tc>
              <w:tc>
                <w:tcPr>
                  <w:tcW w:w="350" w:type="pct"/>
                  <w:vAlign w:val="top"/>
                </w:tcPr>
                <w:p>
                  <w:r>
                    <w:t xml:space="preserve">94.2</w:t>
                  </w:r>
                </w:p>
              </w:tc>
              <w:tc>
                <w:tcPr>
                  <w:tcW w:w="350" w:type="pct"/>
                  <w:vAlign w:val="top"/>
                </w:tcPr>
                <w:p>
                  <w:r>
                    <w:t xml:space="preserve">100.0</w:t>
                  </w:r>
                </w:p>
              </w:tc>
              <w:tc>
                <w:tcPr>
                  <w:tcW w:w="350" w:type="pct"/>
                  <w:vAlign w:val="top"/>
                </w:tcPr>
                <w:p>
                  <w:r>
                    <w:t xml:space="preserve">94.3</w:t>
                  </w:r>
                </w:p>
              </w:tc>
              <w:tc>
                <w:tcPr>
                  <w:tcW w:w="350" w:type="pct"/>
                  <w:vAlign w:val="top"/>
                </w:tcPr>
                <w:p>
                  <w:r>
                    <w:t xml:space="preserve">85.7</w:t>
                  </w:r>
                </w:p>
              </w:tc>
              <w:tc>
                <w:tcPr>
                  <w:tcW w:w="400" w:type="pct"/>
                  <w:vAlign w:val="top"/>
                </w:tcPr>
                <w:p>
                  <w:r>
                    <w:t xml:space="preserve">94.4</w:t>
                  </w:r>
                </w:p>
              </w:tc>
            </w:tr>
            <w:tr>
              <w:trPr/>
              <w:tc>
                <w:tcPr>
                  <w:tcW w:w="1650" w:type="pct"/>
                  <w:vAlign w:val="top"/>
                </w:tcPr>
                <w:p>
                  <w:r>
                    <w:t xml:space="preserve">Dental prosthetists  </w:t>
                  </w:r>
                </w:p>
              </w:tc>
              <w:tc>
                <w:tcPr>
                  <w:tcW w:w="350" w:type="pct"/>
                  <w:vAlign w:val="top"/>
                </w:tcPr>
                <w:p>
                  <w:r>
                    <w:t xml:space="preserve">93.3</w:t>
                  </w:r>
                </w:p>
              </w:tc>
              <w:tc>
                <w:tcPr>
                  <w:tcW w:w="350" w:type="pct"/>
                  <w:vAlign w:val="top"/>
                </w:tcPr>
                <w:p>
                  <w:r>
                    <w:t xml:space="preserve">86.6</w:t>
                  </w:r>
                </w:p>
              </w:tc>
              <w:tc>
                <w:tcPr>
                  <w:tcW w:w="350" w:type="pct"/>
                  <w:vAlign w:val="top"/>
                </w:tcPr>
                <w:p>
                  <w:r>
                    <w:t xml:space="preserve">91.0</w:t>
                  </w:r>
                </w:p>
              </w:tc>
              <w:tc>
                <w:tcPr>
                  <w:tcW w:w="350" w:type="pct"/>
                  <w:vAlign w:val="top"/>
                </w:tcPr>
                <w:p>
                  <w:r>
                    <w:t xml:space="preserve">94.3</w:t>
                  </w:r>
                </w:p>
              </w:tc>
              <w:tc>
                <w:tcPr>
                  <w:tcW w:w="350" w:type="pct"/>
                  <w:vAlign w:val="top"/>
                </w:tcPr>
                <w:p>
                  <w:r>
                    <w:t xml:space="preserve">94.3</w:t>
                  </w:r>
                </w:p>
              </w:tc>
              <w:tc>
                <w:tcPr>
                  <w:tcW w:w="350" w:type="pct"/>
                  <w:vAlign w:val="top"/>
                </w:tcPr>
                <w:p>
                  <w:r>
                    <w:t xml:space="preserve">100.0</w:t>
                  </w:r>
                </w:p>
              </w:tc>
              <w:tc>
                <w:tcPr>
                  <w:tcW w:w="350" w:type="pct"/>
                  <w:vAlign w:val="top"/>
                </w:tcPr>
                <w:p>
                  <w:r>
                    <w:t xml:space="preserve">93.3</w:t>
                  </w:r>
                </w:p>
              </w:tc>
              <w:tc>
                <w:tcPr>
                  <w:tcW w:w="350" w:type="pct"/>
                  <w:vAlign w:val="top"/>
                </w:tcPr>
                <w:p>
                  <w:r>
                    <w:t xml:space="preserve">100.0</w:t>
                  </w:r>
                </w:p>
              </w:tc>
              <w:tc>
                <w:tcPr>
                  <w:tcW w:w="400" w:type="pct"/>
                  <w:vAlign w:val="top"/>
                </w:tcPr>
                <w:p>
                  <w:r>
                    <w:t xml:space="preserve">91.3</w:t>
                  </w:r>
                </w:p>
              </w:tc>
            </w:tr>
            <w:tr>
              <w:trPr/>
              <w:tc>
                <w:tcPr>
                  <w:tcW w:w="1650" w:type="pct"/>
                  <w:vAlign w:val="top"/>
                </w:tcPr>
                <w:p>
                  <w:r>
                    <w:t xml:space="preserve">Dental therapists</w:t>
                  </w:r>
                </w:p>
              </w:tc>
              <w:tc>
                <w:tcPr>
                  <w:tcW w:w="350" w:type="pct"/>
                  <w:vAlign w:val="top"/>
                </w:tcPr>
                <w:p>
                  <w:r>
                    <w:t xml:space="preserve">97.8</w:t>
                  </w:r>
                </w:p>
              </w:tc>
              <w:tc>
                <w:tcPr>
                  <w:tcW w:w="350" w:type="pct"/>
                  <w:vAlign w:val="top"/>
                </w:tcPr>
                <w:p>
                  <w:r>
                    <w:t xml:space="preserve">95.9</w:t>
                  </w:r>
                </w:p>
              </w:tc>
              <w:tc>
                <w:tcPr>
                  <w:tcW w:w="350" w:type="pct"/>
                  <w:vAlign w:val="top"/>
                </w:tcPr>
                <w:p>
                  <w:r>
                    <w:t xml:space="preserve">98.0</w:t>
                  </w:r>
                </w:p>
              </w:tc>
              <w:tc>
                <w:tcPr>
                  <w:tcW w:w="350" w:type="pct"/>
                  <w:vAlign w:val="top"/>
                </w:tcPr>
                <w:p>
                  <w:r>
                    <w:t xml:space="preserve">95.9</w:t>
                  </w:r>
                </w:p>
              </w:tc>
              <w:tc>
                <w:tcPr>
                  <w:tcW w:w="350" w:type="pct"/>
                  <w:vAlign w:val="top"/>
                </w:tcPr>
                <w:p>
                  <w:r>
                    <w:t xml:space="preserve">97.9</w:t>
                  </w:r>
                </w:p>
              </w:tc>
              <w:tc>
                <w:tcPr>
                  <w:tcW w:w="350" w:type="pct"/>
                  <w:vAlign w:val="top"/>
                </w:tcPr>
                <w:p>
                  <w:r>
                    <w:t xml:space="preserve">98.0</w:t>
                  </w:r>
                </w:p>
              </w:tc>
              <w:tc>
                <w:tcPr>
                  <w:tcW w:w="350" w:type="pct"/>
                  <w:vAlign w:val="top"/>
                </w:tcPr>
                <w:p>
                  <w:r>
                    <w:t xml:space="preserve">100.0</w:t>
                  </w:r>
                </w:p>
              </w:tc>
              <w:tc>
                <w:tcPr>
                  <w:tcW w:w="350" w:type="pct"/>
                  <w:vAlign w:val="top"/>
                </w:tcPr>
                <w:p>
                  <w:r>
                    <w:t xml:space="preserve">100.0</w:t>
                  </w:r>
                </w:p>
              </w:tc>
              <w:tc>
                <w:tcPr>
                  <w:tcW w:w="400" w:type="pct"/>
                  <w:vAlign w:val="top"/>
                </w:tcPr>
                <w:p>
                  <w:r>
                    <w:t xml:space="preserve">97.1</w:t>
                  </w:r>
                </w:p>
              </w:tc>
            </w:tr>
            <w:tr>
              <w:trPr/>
              <w:tc>
                <w:tcPr>
                  <w:tcW w:w="1650" w:type="pct"/>
                  <w:vAlign w:val="top"/>
                </w:tcPr>
                <w:p>
                  <w:r>
                    <w:t xml:space="preserve">Oral health therapists</w:t>
                  </w:r>
                </w:p>
              </w:tc>
              <w:tc>
                <w:tcPr>
                  <w:tcW w:w="350" w:type="pct"/>
                  <w:vAlign w:val="top"/>
                </w:tcPr>
                <w:p>
                  <w:r>
                    <w:t xml:space="preserve">79.8</w:t>
                  </w:r>
                </w:p>
              </w:tc>
              <w:tc>
                <w:tcPr>
                  <w:tcW w:w="350" w:type="pct"/>
                  <w:vAlign w:val="top"/>
                </w:tcPr>
                <w:p>
                  <w:r>
                    <w:t xml:space="preserve">81.1</w:t>
                  </w:r>
                </w:p>
              </w:tc>
              <w:tc>
                <w:tcPr>
                  <w:tcW w:w="350" w:type="pct"/>
                  <w:vAlign w:val="top"/>
                </w:tcPr>
                <w:p>
                  <w:r>
                    <w:t xml:space="preserve">91.9</w:t>
                  </w:r>
                </w:p>
              </w:tc>
              <w:tc>
                <w:tcPr>
                  <w:tcW w:w="350" w:type="pct"/>
                  <w:vAlign w:val="top"/>
                </w:tcPr>
                <w:p>
                  <w:r>
                    <w:t xml:space="preserve">38.6</w:t>
                  </w:r>
                </w:p>
              </w:tc>
              <w:tc>
                <w:tcPr>
                  <w:tcW w:w="350" w:type="pct"/>
                  <w:vAlign w:val="top"/>
                </w:tcPr>
                <w:p>
                  <w:r>
                    <w:t xml:space="preserve">73.6</w:t>
                  </w:r>
                </w:p>
              </w:tc>
              <w:tc>
                <w:tcPr>
                  <w:tcW w:w="350" w:type="pct"/>
                  <w:vAlign w:val="top"/>
                </w:tcPr>
                <w:p>
                  <w:r>
                    <w:t xml:space="preserve">70.0</w:t>
                  </w:r>
                </w:p>
              </w:tc>
              <w:tc>
                <w:tcPr>
                  <w:tcW w:w="350" w:type="pct"/>
                  <w:vAlign w:val="top"/>
                </w:tcPr>
                <w:p>
                  <w:r>
                    <w:t xml:space="preserve">88.2</w:t>
                  </w:r>
                </w:p>
              </w:tc>
              <w:tc>
                <w:tcPr>
                  <w:tcW w:w="350" w:type="pct"/>
                  <w:vAlign w:val="top"/>
                </w:tcPr>
                <w:p>
                  <w:r>
                    <w:t xml:space="preserve">100.0</w:t>
                  </w:r>
                </w:p>
              </w:tc>
              <w:tc>
                <w:tcPr>
                  <w:tcW w:w="400" w:type="pct"/>
                  <w:vAlign w:val="top"/>
                </w:tcPr>
                <w:p>
                  <w:r>
                    <w:t xml:space="preserve">81.4</w:t>
                  </w:r>
                </w:p>
              </w:tc>
            </w:tr>
            <w:tr>
              <w:trPr/>
              <w:tc>
                <w:tcPr>
                  <w:tcW w:w="1650" w:type="pct"/>
                  <w:vAlign w:val="top"/>
                </w:tcPr>
                <w:p>
                  <w:r>
                    <w:t xml:space="preserve">Occupational therapists</w:t>
                  </w:r>
                </w:p>
              </w:tc>
              <w:tc>
                <w:tcPr>
                  <w:tcW w:w="350" w:type="pct"/>
                  <w:vAlign w:val="top"/>
                </w:tcPr>
                <w:p>
                  <w:r>
                    <w:t xml:space="preserve">88.7</w:t>
                  </w:r>
                </w:p>
              </w:tc>
              <w:tc>
                <w:tcPr>
                  <w:tcW w:w="350" w:type="pct"/>
                  <w:vAlign w:val="top"/>
                </w:tcPr>
                <w:p>
                  <w:r>
                    <w:t xml:space="preserve">87.2</w:t>
                  </w:r>
                </w:p>
              </w:tc>
              <w:tc>
                <w:tcPr>
                  <w:tcW w:w="350" w:type="pct"/>
                  <w:vAlign w:val="top"/>
                </w:tcPr>
                <w:p>
                  <w:r>
                    <w:t xml:space="preserve">87.8</w:t>
                  </w:r>
                </w:p>
              </w:tc>
              <w:tc>
                <w:tcPr>
                  <w:tcW w:w="350" w:type="pct"/>
                  <w:vAlign w:val="top"/>
                </w:tcPr>
                <w:p>
                  <w:r>
                    <w:t xml:space="preserve">87.3</w:t>
                  </w:r>
                </w:p>
              </w:tc>
              <w:tc>
                <w:tcPr>
                  <w:tcW w:w="350" w:type="pct"/>
                  <w:vAlign w:val="top"/>
                </w:tcPr>
                <w:p>
                  <w:r>
                    <w:t xml:space="preserve">86.5</w:t>
                  </w:r>
                </w:p>
              </w:tc>
              <w:tc>
                <w:tcPr>
                  <w:tcW w:w="350" w:type="pct"/>
                  <w:vAlign w:val="top"/>
                </w:tcPr>
                <w:p>
                  <w:r>
                    <w:t xml:space="preserve">90.0</w:t>
                  </w:r>
                </w:p>
              </w:tc>
              <w:tc>
                <w:tcPr>
                  <w:tcW w:w="350" w:type="pct"/>
                  <w:vAlign w:val="top"/>
                </w:tcPr>
                <w:p>
                  <w:r>
                    <w:t xml:space="preserve">93.7</w:t>
                  </w:r>
                </w:p>
              </w:tc>
              <w:tc>
                <w:tcPr>
                  <w:tcW w:w="350" w:type="pct"/>
                  <w:vAlign w:val="top"/>
                </w:tcPr>
                <w:p>
                  <w:r>
                    <w:t xml:space="preserve">92.1</w:t>
                  </w:r>
                </w:p>
              </w:tc>
              <w:tc>
                <w:tcPr>
                  <w:tcW w:w="400" w:type="pct"/>
                  <w:vAlign w:val="top"/>
                </w:tcPr>
                <w:p>
                  <w:r>
                    <w:t xml:space="preserve">87.8</w:t>
                  </w:r>
                </w:p>
              </w:tc>
            </w:tr>
            <w:tr>
              <w:trPr/>
              <w:tc>
                <w:tcPr>
                  <w:tcW w:w="1650" w:type="pct"/>
                  <w:vAlign w:val="top"/>
                </w:tcPr>
                <w:p>
                  <w:r>
                    <w:t xml:space="preserve">Medical radiation practitioners</w:t>
                  </w:r>
                </w:p>
              </w:tc>
              <w:tc>
                <w:tcPr>
                  <w:tcW w:w="350" w:type="pct"/>
                  <w:vAlign w:val="top"/>
                </w:tcPr>
                <w:p>
                  <w:r>
                    <w:t xml:space="preserve">84.7</w:t>
                  </w:r>
                </w:p>
              </w:tc>
              <w:tc>
                <w:tcPr>
                  <w:tcW w:w="350" w:type="pct"/>
                  <w:vAlign w:val="top"/>
                </w:tcPr>
                <w:p>
                  <w:r>
                    <w:t xml:space="preserve">89.7</w:t>
                  </w:r>
                </w:p>
              </w:tc>
              <w:tc>
                <w:tcPr>
                  <w:tcW w:w="350" w:type="pct"/>
                  <w:vAlign w:val="top"/>
                </w:tcPr>
                <w:p>
                  <w:r>
                    <w:t xml:space="preserve">86.7</w:t>
                  </w:r>
                </w:p>
              </w:tc>
              <w:tc>
                <w:tcPr>
                  <w:tcW w:w="350" w:type="pct"/>
                  <w:vAlign w:val="top"/>
                </w:tcPr>
                <w:p>
                  <w:r>
                    <w:t xml:space="preserve">86.8</w:t>
                  </w:r>
                </w:p>
              </w:tc>
              <w:tc>
                <w:tcPr>
                  <w:tcW w:w="350" w:type="pct"/>
                  <w:vAlign w:val="top"/>
                </w:tcPr>
                <w:p>
                  <w:r>
                    <w:t xml:space="preserve">86.0</w:t>
                  </w:r>
                </w:p>
              </w:tc>
              <w:tc>
                <w:tcPr>
                  <w:tcW w:w="350" w:type="pct"/>
                  <w:vAlign w:val="top"/>
                </w:tcPr>
                <w:p>
                  <w:r>
                    <w:t xml:space="preserve">92.4</w:t>
                  </w:r>
                </w:p>
              </w:tc>
              <w:tc>
                <w:tcPr>
                  <w:tcW w:w="350" w:type="pct"/>
                  <w:vAlign w:val="top"/>
                </w:tcPr>
                <w:p>
                  <w:r>
                    <w:t xml:space="preserve">89.6</w:t>
                  </w:r>
                </w:p>
              </w:tc>
              <w:tc>
                <w:tcPr>
                  <w:tcW w:w="350" w:type="pct"/>
                  <w:vAlign w:val="top"/>
                </w:tcPr>
                <w:p>
                  <w:r>
                    <w:t xml:space="preserve">82.2</w:t>
                  </w:r>
                </w:p>
              </w:tc>
              <w:tc>
                <w:tcPr>
                  <w:tcW w:w="400" w:type="pct"/>
                  <w:vAlign w:val="top"/>
                </w:tcPr>
                <w:p>
                  <w:r>
                    <w:t xml:space="preserve">86.8</w:t>
                  </w:r>
                </w:p>
              </w:tc>
            </w:tr>
            <w:tr>
              <w:trPr/>
              <w:tc>
                <w:tcPr>
                  <w:tcW w:w="1650" w:type="pct"/>
                  <w:vAlign w:val="top"/>
                </w:tcPr>
                <w:p>
                  <w:r>
                    <w:t xml:space="preserve">Chiropractors</w:t>
                  </w:r>
                </w:p>
              </w:tc>
              <w:tc>
                <w:tcPr>
                  <w:tcW w:w="350" w:type="pct"/>
                  <w:vAlign w:val="top"/>
                </w:tcPr>
                <w:p>
                  <w:r>
                    <w:t xml:space="preserve">93.0</w:t>
                  </w:r>
                </w:p>
              </w:tc>
              <w:tc>
                <w:tcPr>
                  <w:tcW w:w="350" w:type="pct"/>
                  <w:vAlign w:val="top"/>
                </w:tcPr>
                <w:p>
                  <w:r>
                    <w:t xml:space="preserve">91.3</w:t>
                  </w:r>
                </w:p>
              </w:tc>
              <w:tc>
                <w:tcPr>
                  <w:tcW w:w="350" w:type="pct"/>
                  <w:vAlign w:val="top"/>
                </w:tcPr>
                <w:p>
                  <w:r>
                    <w:t xml:space="preserve">93.9</w:t>
                  </w:r>
                </w:p>
              </w:tc>
              <w:tc>
                <w:tcPr>
                  <w:tcW w:w="350" w:type="pct"/>
                  <w:vAlign w:val="top"/>
                </w:tcPr>
                <w:p>
                  <w:r>
                    <w:t xml:space="preserve">90.6</w:t>
                  </w:r>
                </w:p>
              </w:tc>
              <w:tc>
                <w:tcPr>
                  <w:tcW w:w="350" w:type="pct"/>
                  <w:vAlign w:val="top"/>
                </w:tcPr>
                <w:p>
                  <w:r>
                    <w:t xml:space="preserve">95.6</w:t>
                  </w:r>
                </w:p>
              </w:tc>
              <w:tc>
                <w:tcPr>
                  <w:tcW w:w="350" w:type="pct"/>
                  <w:vAlign w:val="top"/>
                </w:tcPr>
                <w:p>
                  <w:r>
                    <w:t xml:space="preserve">92.2</w:t>
                  </w:r>
                </w:p>
              </w:tc>
              <w:tc>
                <w:tcPr>
                  <w:tcW w:w="350" w:type="pct"/>
                  <w:vAlign w:val="top"/>
                </w:tcPr>
                <w:p>
                  <w:r>
                    <w:t xml:space="preserve">97.0</w:t>
                  </w:r>
                </w:p>
              </w:tc>
              <w:tc>
                <w:tcPr>
                  <w:tcW w:w="350" w:type="pct"/>
                  <w:vAlign w:val="top"/>
                </w:tcPr>
                <w:p>
                  <w:r>
                    <w:t xml:space="preserve">100.0</w:t>
                  </w:r>
                </w:p>
              </w:tc>
              <w:tc>
                <w:tcPr>
                  <w:tcW w:w="400" w:type="pct"/>
                  <w:vAlign w:val="top"/>
                </w:tcPr>
                <w:p>
                  <w:r>
                    <w:t xml:space="preserve">92.6</w:t>
                  </w:r>
                </w:p>
              </w:tc>
            </w:tr>
            <w:tr>
              <w:trPr/>
              <w:tc>
                <w:tcPr>
                  <w:tcW w:w="1650" w:type="pct"/>
                  <w:vAlign w:val="top"/>
                </w:tcPr>
                <w:p>
                  <w:r>
                    <w:t xml:space="preserve">Optometrists</w:t>
                  </w:r>
                </w:p>
              </w:tc>
              <w:tc>
                <w:tcPr>
                  <w:tcW w:w="350" w:type="pct"/>
                  <w:vAlign w:val="top"/>
                </w:tcPr>
                <w:p>
                  <w:r>
                    <w:t xml:space="preserve">94.4</w:t>
                  </w:r>
                </w:p>
              </w:tc>
              <w:tc>
                <w:tcPr>
                  <w:tcW w:w="350" w:type="pct"/>
                  <w:vAlign w:val="top"/>
                </w:tcPr>
                <w:p>
                  <w:r>
                    <w:t xml:space="preserve">93.8</w:t>
                  </w:r>
                </w:p>
              </w:tc>
              <w:tc>
                <w:tcPr>
                  <w:tcW w:w="350" w:type="pct"/>
                  <w:vAlign w:val="top"/>
                </w:tcPr>
                <w:p>
                  <w:r>
                    <w:t xml:space="preserve">93.2</w:t>
                  </w:r>
                </w:p>
              </w:tc>
              <w:tc>
                <w:tcPr>
                  <w:tcW w:w="350" w:type="pct"/>
                  <w:vAlign w:val="top"/>
                </w:tcPr>
                <w:p>
                  <w:r>
                    <w:t xml:space="preserve">94.0</w:t>
                  </w:r>
                </w:p>
              </w:tc>
              <w:tc>
                <w:tcPr>
                  <w:tcW w:w="350" w:type="pct"/>
                  <w:vAlign w:val="top"/>
                </w:tcPr>
                <w:p>
                  <w:r>
                    <w:t xml:space="preserve">93.7</w:t>
                  </w:r>
                </w:p>
              </w:tc>
              <w:tc>
                <w:tcPr>
                  <w:tcW w:w="350" w:type="pct"/>
                  <w:vAlign w:val="top"/>
                </w:tcPr>
                <w:p>
                  <w:r>
                    <w:t xml:space="preserve">95.5</w:t>
                  </w:r>
                </w:p>
              </w:tc>
              <w:tc>
                <w:tcPr>
                  <w:tcW w:w="350" w:type="pct"/>
                  <w:vAlign w:val="top"/>
                </w:tcPr>
                <w:p>
                  <w:r>
                    <w:t xml:space="preserve">94.9</w:t>
                  </w:r>
                </w:p>
              </w:tc>
              <w:tc>
                <w:tcPr>
                  <w:tcW w:w="350" w:type="pct"/>
                  <w:vAlign w:val="top"/>
                </w:tcPr>
                <w:p>
                  <w:r>
                    <w:t xml:space="preserve">97.0</w:t>
                  </w:r>
                </w:p>
              </w:tc>
              <w:tc>
                <w:tcPr>
                  <w:tcW w:w="400" w:type="pct"/>
                  <w:vAlign w:val="top"/>
                </w:tcPr>
                <w:p>
                  <w:r>
                    <w:t xml:space="preserve">94.0</w:t>
                  </w:r>
                </w:p>
              </w:tc>
            </w:tr>
            <w:tr>
              <w:trPr/>
              <w:tc>
                <w:tcPr>
                  <w:tcW w:w="1650" w:type="pct"/>
                  <w:vAlign w:val="top"/>
                </w:tcPr>
                <w:p>
                  <w:r>
                    <w:t xml:space="preserve">Chinese medicine practitioners</w:t>
                  </w:r>
                </w:p>
              </w:tc>
              <w:tc>
                <w:tcPr>
                  <w:tcW w:w="350" w:type="pct"/>
                  <w:vAlign w:val="top"/>
                </w:tcPr>
                <w:p>
                  <w:r>
                    <w:t xml:space="preserve">88.4</w:t>
                  </w:r>
                </w:p>
              </w:tc>
              <w:tc>
                <w:tcPr>
                  <w:tcW w:w="350" w:type="pct"/>
                  <w:vAlign w:val="top"/>
                </w:tcPr>
                <w:p>
                  <w:r>
                    <w:t xml:space="preserve">91.5</w:t>
                  </w:r>
                </w:p>
              </w:tc>
              <w:tc>
                <w:tcPr>
                  <w:tcW w:w="350" w:type="pct"/>
                  <w:vAlign w:val="top"/>
                </w:tcPr>
                <w:p>
                  <w:r>
                    <w:t xml:space="preserve">88.4</w:t>
                  </w:r>
                </w:p>
              </w:tc>
              <w:tc>
                <w:tcPr>
                  <w:tcW w:w="350" w:type="pct"/>
                  <w:vAlign w:val="top"/>
                </w:tcPr>
                <w:p>
                  <w:r>
                    <w:t xml:space="preserve">86.7</w:t>
                  </w:r>
                </w:p>
              </w:tc>
              <w:tc>
                <w:tcPr>
                  <w:tcW w:w="350" w:type="pct"/>
                  <w:vAlign w:val="top"/>
                </w:tcPr>
                <w:p>
                  <w:r>
                    <w:t xml:space="preserve">88.8</w:t>
                  </w:r>
                </w:p>
              </w:tc>
              <w:tc>
                <w:tcPr>
                  <w:tcW w:w="350" w:type="pct"/>
                  <w:vAlign w:val="top"/>
                </w:tcPr>
                <w:p>
                  <w:r>
                    <w:t xml:space="preserve">91.2</w:t>
                  </w:r>
                </w:p>
              </w:tc>
              <w:tc>
                <w:tcPr>
                  <w:tcW w:w="350" w:type="pct"/>
                  <w:vAlign w:val="top"/>
                </w:tcPr>
                <w:p>
                  <w:r>
                    <w:t xml:space="preserve">91.9</w:t>
                  </w:r>
                </w:p>
              </w:tc>
              <w:tc>
                <w:tcPr>
                  <w:tcW w:w="350" w:type="pct"/>
                  <w:vAlign w:val="top"/>
                </w:tcPr>
                <w:p>
                  <w:r>
                    <w:t xml:space="preserve">81.8</w:t>
                  </w:r>
                </w:p>
              </w:tc>
              <w:tc>
                <w:tcPr>
                  <w:tcW w:w="400" w:type="pct"/>
                  <w:vAlign w:val="top"/>
                </w:tcPr>
                <w:p>
                  <w:r>
                    <w:t xml:space="preserve">89.1</w:t>
                  </w:r>
                </w:p>
              </w:tc>
            </w:tr>
            <w:tr>
              <w:trPr/>
              <w:tc>
                <w:tcPr>
                  <w:tcW w:w="1650" w:type="pct"/>
                  <w:vAlign w:val="top"/>
                </w:tcPr>
                <w:p>
                  <w:r>
                    <w:t xml:space="preserve">Podiatrists</w:t>
                  </w:r>
                </w:p>
              </w:tc>
              <w:tc>
                <w:tcPr>
                  <w:tcW w:w="350" w:type="pct"/>
                  <w:vAlign w:val="top"/>
                </w:tcPr>
                <w:p>
                  <w:r>
                    <w:t xml:space="preserve">92.6</w:t>
                  </w:r>
                </w:p>
              </w:tc>
              <w:tc>
                <w:tcPr>
                  <w:tcW w:w="350" w:type="pct"/>
                  <w:vAlign w:val="top"/>
                </w:tcPr>
                <w:p>
                  <w:r>
                    <w:t xml:space="preserve">90.8</w:t>
                  </w:r>
                </w:p>
              </w:tc>
              <w:tc>
                <w:tcPr>
                  <w:tcW w:w="350" w:type="pct"/>
                  <w:vAlign w:val="top"/>
                </w:tcPr>
                <w:p>
                  <w:r>
                    <w:t xml:space="preserve">91.6</w:t>
                  </w:r>
                </w:p>
              </w:tc>
              <w:tc>
                <w:tcPr>
                  <w:tcW w:w="350" w:type="pct"/>
                  <w:vAlign w:val="top"/>
                </w:tcPr>
                <w:p>
                  <w:r>
                    <w:t xml:space="preserve">89.9</w:t>
                  </w:r>
                </w:p>
              </w:tc>
              <w:tc>
                <w:tcPr>
                  <w:tcW w:w="350" w:type="pct"/>
                  <w:vAlign w:val="top"/>
                </w:tcPr>
                <w:p>
                  <w:r>
                    <w:t xml:space="preserve">93.4</w:t>
                  </w:r>
                </w:p>
              </w:tc>
              <w:tc>
                <w:tcPr>
                  <w:tcW w:w="350" w:type="pct"/>
                  <w:vAlign w:val="top"/>
                </w:tcPr>
                <w:p>
                  <w:r>
                    <w:t xml:space="preserve">93.0</w:t>
                  </w:r>
                </w:p>
              </w:tc>
              <w:tc>
                <w:tcPr>
                  <w:tcW w:w="350" w:type="pct"/>
                  <w:vAlign w:val="top"/>
                </w:tcPr>
                <w:p>
                  <w:r>
                    <w:t xml:space="preserve">96.2</w:t>
                  </w:r>
                </w:p>
              </w:tc>
              <w:tc>
                <w:tcPr>
                  <w:tcW w:w="350" w:type="pct"/>
                  <w:vAlign w:val="top"/>
                </w:tcPr>
                <w:p>
                  <w:r>
                    <w:t xml:space="preserve">87.5</w:t>
                  </w:r>
                </w:p>
              </w:tc>
              <w:tc>
                <w:tcPr>
                  <w:tcW w:w="400" w:type="pct"/>
                  <w:vAlign w:val="top"/>
                </w:tcPr>
                <w:p>
                  <w:r>
                    <w:t xml:space="preserve">91.6</w:t>
                  </w:r>
                </w:p>
              </w:tc>
            </w:tr>
            <w:tr>
              <w:trPr/>
              <w:tc>
                <w:tcPr>
                  <w:tcW w:w="1650" w:type="pct"/>
                  <w:vAlign w:val="top"/>
                </w:tcPr>
                <w:p>
                  <w:r>
                    <w:t xml:space="preserve">Osteopaths</w:t>
                  </w:r>
                </w:p>
              </w:tc>
              <w:tc>
                <w:tcPr>
                  <w:tcW w:w="350" w:type="pct"/>
                  <w:vAlign w:val="top"/>
                </w:tcPr>
                <w:p>
                  <w:r>
                    <w:t xml:space="preserve">92.3</w:t>
                  </w:r>
                </w:p>
              </w:tc>
              <w:tc>
                <w:tcPr>
                  <w:tcW w:w="350" w:type="pct"/>
                  <w:vAlign w:val="top"/>
                </w:tcPr>
                <w:p>
                  <w:r>
                    <w:t xml:space="preserve">88.9</w:t>
                  </w:r>
                </w:p>
              </w:tc>
              <w:tc>
                <w:tcPr>
                  <w:tcW w:w="350" w:type="pct"/>
                  <w:vAlign w:val="top"/>
                </w:tcPr>
                <w:p>
                  <w:r>
                    <w:t xml:space="preserve">88.4</w:t>
                  </w:r>
                </w:p>
              </w:tc>
              <w:tc>
                <w:tcPr>
                  <w:tcW w:w="350" w:type="pct"/>
                  <w:vAlign w:val="top"/>
                </w:tcPr>
                <w:p>
                  <w:r>
                    <w:t xml:space="preserve">94.3</w:t>
                  </w:r>
                </w:p>
              </w:tc>
              <w:tc>
                <w:tcPr>
                  <w:tcW w:w="350" w:type="pct"/>
                  <w:vAlign w:val="top"/>
                </w:tcPr>
                <w:p>
                  <w:r>
                    <w:t xml:space="preserve">100.0</w:t>
                  </w:r>
                </w:p>
              </w:tc>
              <w:tc>
                <w:tcPr>
                  <w:tcW w:w="350" w:type="pct"/>
                  <w:vAlign w:val="top"/>
                </w:tcPr>
                <w:p>
                  <w:r>
                    <w:t xml:space="preserve">89.5</w:t>
                  </w:r>
                </w:p>
              </w:tc>
              <w:tc>
                <w:tcPr>
                  <w:tcW w:w="350" w:type="pct"/>
                  <w:vAlign w:val="top"/>
                </w:tcPr>
                <w:p>
                  <w:r>
                    <w:t xml:space="preserve">81.8</w:t>
                  </w:r>
                </w:p>
              </w:tc>
              <w:tc>
                <w:tcPr>
                  <w:tcW w:w="350" w:type="pct"/>
                  <w:vAlign w:val="top"/>
                </w:tcPr>
                <w:p>
                  <w:r>
                    <w:t xml:space="preserve">100.0</w:t>
                  </w:r>
                </w:p>
              </w:tc>
              <w:tc>
                <w:tcPr>
                  <w:tcW w:w="400" w:type="pct"/>
                  <w:vAlign w:val="top"/>
                </w:tcPr>
                <w:p>
                  <w:r>
                    <w:t xml:space="preserve">90.3</w:t>
                  </w:r>
                </w:p>
              </w:tc>
            </w:tr>
            <w:tr>
              <w:trPr/>
              <w:tc>
                <w:tcPr>
                  <w:tcW w:w="1650" w:type="pct"/>
                  <w:vAlign w:val="top"/>
                </w:tcPr>
                <w:p>
                  <w:r>
                    <w:t xml:space="preserve">Aboriginal and Torres Strait</w:t>
                  </w:r>
                  <w:r>
                    <w:br/>
                  </w:r>
                  <w:r>
                    <w:t xml:space="preserve">Islander health practitioners.</w:t>
                  </w:r>
                </w:p>
              </w:tc>
              <w:tc>
                <w:tcPr>
                  <w:tcW w:w="350" w:type="pct"/>
                  <w:vAlign w:val="top"/>
                </w:tcPr>
                <w:p>
                  <w:r>
                    <w:t xml:space="preserve">70.4</w:t>
                  </w:r>
                </w:p>
              </w:tc>
              <w:tc>
                <w:tcPr>
                  <w:tcW w:w="350" w:type="pct"/>
                  <w:vAlign w:val="top"/>
                </w:tcPr>
                <w:p>
                  <w:r>
                    <w:t xml:space="preserve">62.5</w:t>
                  </w:r>
                </w:p>
              </w:tc>
              <w:tc>
                <w:tcPr>
                  <w:tcW w:w="350" w:type="pct"/>
                  <w:vAlign w:val="top"/>
                </w:tcPr>
                <w:p>
                  <w:r>
                    <w:t xml:space="preserve">70.6</w:t>
                  </w:r>
                </w:p>
              </w:tc>
              <w:tc>
                <w:tcPr>
                  <w:tcW w:w="350" w:type="pct"/>
                  <w:vAlign w:val="top"/>
                </w:tcPr>
                <w:p>
                  <w:r>
                    <w:t xml:space="preserve">69.2</w:t>
                  </w:r>
                </w:p>
              </w:tc>
              <w:tc>
                <w:tcPr>
                  <w:tcW w:w="350" w:type="pct"/>
                  <w:vAlign w:val="top"/>
                </w:tcPr>
                <w:p>
                  <w:r>
                    <w:t xml:space="preserve">44.4</w:t>
                  </w:r>
                </w:p>
              </w:tc>
              <w:tc>
                <w:tcPr>
                  <w:tcW w:w="350" w:type="pct"/>
                  <w:vAlign w:val="top"/>
                </w:tcPr>
                <w:p>
                  <w:r>
                    <w:t xml:space="preserve">100.0</w:t>
                  </w:r>
                </w:p>
              </w:tc>
              <w:tc>
                <w:tcPr>
                  <w:tcW w:w="350" w:type="pct"/>
                  <w:vAlign w:val="top"/>
                </w:tcPr>
                <w:p>
                  <w:r>
                    <w:t xml:space="preserve">100.0</w:t>
                  </w:r>
                </w:p>
              </w:tc>
              <w:tc>
                <w:tcPr>
                  <w:tcW w:w="350" w:type="pct"/>
                  <w:vAlign w:val="top"/>
                </w:tcPr>
                <w:p>
                  <w:r>
                    <w:t xml:space="preserve">69.4</w:t>
                  </w:r>
                </w:p>
              </w:tc>
              <w:tc>
                <w:tcPr>
                  <w:tcW w:w="400" w:type="pct"/>
                  <w:vAlign w:val="top"/>
                </w:tcPr>
                <w:p>
                  <w:r>
                    <w:t xml:space="preserve">69.0</w:t>
                  </w:r>
                </w:p>
              </w:tc>
            </w:tr>
          </w:tbl>
          <w:p>
            <w:r>
              <w:t xml:space="preserve"> </w:t>
            </w:r>
            <w:r>
              <w:t xml:space="preserve">(a) Includes health workers who did not state or adequately describe their state or territory, and those who were overseas.</w:t>
            </w:r>
            <w:r>
              <w:br/>
            </w:r>
            <w:r>
              <w:t xml:space="preserve">Source: AIHW NHWDS 2013.</w:t>
            </w:r>
          </w:p>
          <w:p>
            <w:r>
              <w:br/>
            </w:r>
            <w:r>
              <w:t xml:space="preserve">Data are reported on the basis of the most current address at the time the survey was undertaken, unless stated otherwise. The data include employed health practitioners who did not state or adequately describe their location, as well as employed health practitioners who were overseas. The national estimates include these groups.</w:t>
            </w:r>
            <w:r>
              <w:br/>
            </w:r>
            <w:r>
              <w:t xml:space="preserve">Estimation procedures</w:t>
            </w:r>
            <w:r>
              <w:br/>
            </w:r>
            <w:r>
              <w:t xml:space="preserve">The AIHW uses registration data together with survey data to derive estimates of the total health practitioner workforce. Not all practitioners who receive a survey respond, because it is not mandatory to do so. In deriving the estimates, two sources of non-response to the survey are accounted for:</w:t>
            </w:r>
            <w:r>
              <w:br/>
            </w:r>
            <w:r>
              <w:t xml:space="preserve">• item non-response—occurs as some respondents return partially completed surveys. Some survey records were so incomplete that it was decided to omit them from the reported survey data.</w:t>
            </w:r>
            <w:r>
              <w:br/>
            </w:r>
            <w:r>
              <w:t xml:space="preserve">• survey non-response—occurs because not all registered medical practitioners who receive a questionnaire respond.</w:t>
            </w:r>
            <w:r>
              <w:br/>
            </w:r>
            <w:r>
              <w:t xml:space="preserve">Imputation methods are used account for item non-response and survey non-response.</w:t>
            </w:r>
            <w:r>
              <w:br/>
            </w:r>
            <w:r>
              <w:t xml:space="preserve">Imputation: estimation for item non-response</w:t>
            </w:r>
            <w:r>
              <w:br/>
            </w:r>
            <w: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r>
              <w:br/>
            </w:r>
            <w:r>
              <w:t xml:space="preserve">Missing values remaining after this process are considered for their suitability for further imputation. Suitability is based on the level of non-response to that item.</w:t>
            </w:r>
            <w:r>
              <w:br/>
            </w:r>
            <w: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r>
              <w:br/>
            </w:r>
            <w:r>
              <w:t xml:space="preserve">Age values within each state and territory of principal practice are first imputed to account for missing values. Other variables deemed suitable for this process were then imputed. These included hours worked in the week before the survey, principal role of main job, principal area of main job in medicine and work setting of main job.</w:t>
            </w:r>
          </w:p>
          <w:p>
            <w:r>
              <w:t xml:space="preserve">Imputation: estimation for population non-response</w:t>
            </w:r>
            <w:r>
              <w:br/>
            </w:r>
            <w:r>
              <w:t xml:space="preserve">In 2013, the methodology for population non-response was changed from a weighting-based methodology to a hot deck-based imputation, similar to that used for imputing unreported hours in previous years.</w:t>
            </w:r>
            <w:r>
              <w:br/>
            </w:r>
            <w:r>
              <w:t xml:space="preserve">The data were sorted into strata, so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r>
              <w:br/>
            </w:r>
            <w:r>
              <w:t xml:space="preserve">Donor records were spaced evenly within strata to ensure records were used within the strata an equal number of times plus or minus 1, and that most strata within the hot deck were restricted to within stratum imputations. For example, if there were 5 respondents and 12 non-respondents in a cell, the expected number of uses would be 2.4, resulting in each donor being used either 2 or 3 times.</w:t>
            </w:r>
            <w:r>
              <w:br/>
            </w:r>
            <w:r>
              <w:t xml:space="preserve">Because the data were imputed and not weighted, some data may be affected in different ways from those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w:t>
            </w:r>
            <w:r>
              <w:br/>
            </w:r>
            <w:r>
              <w:t xml:space="preserve">For variables not used in the imputation (that is, all variables other than the registration type, remoteness area, state and territory of principal practice, age and sex), it is assumed, for estimation purposes, that respondents and non-respondents have similar characteristics. If the assumption is incorrect, and non-respondents are different from respondents, then the estimates will have some bias. The extent of this cannot be measured without obtaining more detailed information about non-respondents.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second time data on medical radiation practitioners, chiropractors, Chinese medicine practitioners, osteopaths and Aboriginal and Torres Strait Islander health practitioners has been produced.</w:t>
            </w:r>
            <w:r>
              <w:br/>
            </w:r>
            <w:r>
              <w:rPr>
                <w:rStyle w:val="row-content-rich-text"/>
              </w:rPr>
              <w:t xml:space="preserve">For psychologists, pharmacists, physiotherapists, dentists, dental hygienists, dental prosthetists, dental therapists, oral health therapists, occupational therapists, optometrists and podiatrists, data has previously been published by AIHW based on jurisdictional based board registration and survey data. Data collected through the NRAS (2011 onwards) is not directly comparable with data collected through the jurisdiction-based data collection.</w:t>
            </w:r>
            <w:r>
              <w:br/>
            </w:r>
            <w:r>
              <w:rPr>
                <w:rStyle w:val="row-content-rich-text"/>
              </w:rPr>
              <w:t xml:space="preserve">In 2013 there was an improvement to the methodology for assigning clinical or non-clinical job roles for those reporting ‘Other’ to the corresponding survey question. In the three largest groups, psychologists, pharmacists and physiotherapists, there has been an increase in the proportion reported as working as clinicians, such that this should not be compared to the results for 2012. In the case of pharmacists and physiotherapists, this is a result of recoding ‘Other’ responses to one of the standard job roles (predominantly ‘Clinician’), based on further information provided by an additional free text field. For psychologists this increase seems to have been caused largely by a rewording of the survey form, resulting in fewer respondents selecting ‘Other’.</w:t>
            </w:r>
            <w:r>
              <w:br/>
            </w:r>
            <w:r>
              <w:rPr>
                <w:rStyle w:val="row-content-rich-text"/>
              </w:rPr>
              <w:t xml:space="preserve">Changes in non-response estimation methods, from weighting in 2012 to imputation in 2013, may have implications for comparability of data over time. In particular, small geographic areas may have more accurate estimates from 2013 than previously. See Accuracy for more detail.</w:t>
            </w:r>
            <w:r>
              <w:br/>
            </w:r>
            <w:r>
              <w:rPr>
                <w:rStyle w:val="row-content-rich-text"/>
              </w:rPr>
              <w:t xml:space="preserve">Due to transition arrangements between pre-existing state/territory-based registration systems and the NRAS, people previously registered as medical radiation practitioners in Queensland, Western Australia and Tasmania or occupational therapists previously registered in Queensland, Western Australia and South Australia may not have been required to renew their registration in 2012 and hence did not receive a survey. Registration data for these people was migrated from pre-existing state based systems. As a result the survey data for 2012 for these professions excludes these jurisdictions; FTE and FTE rates should not be compared with those in 2013.</w:t>
            </w:r>
            <w:r>
              <w:br/>
            </w:r>
            <w:r>
              <w:rPr>
                <w:rStyle w:val="row-content-rich-text"/>
              </w:rPr>
              <w:t xml:space="preserve">Comparisons with 2011 data for oral health therapists, dental therapists, dental hygienists and dental prosthetists should be made with caution. Dental practitioners registered in more than one division of general registration are assigned a primary (or main) division. The methodology to assign a primary dental division of general registration changed from 2011 to 2012. In 2011, oral health therapists included those with both dental therapy and dental hygienist registrations. In 2012, practitioners with both dental hygiene and dental therapy registrations were treated as either a dental therapist or dental hygienist depending on other eligibility criteria (e.g. principal area of main job, whether worked more hours in private or public sector and geographic location). For further details see Page 79 and 80 of Dental workforce 2012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26/11/2014</w:t>
            </w:r>
          </w:p>
        </w:tc>
      </w:tr>
    </w:tbl>
    <w:p>
      <w:r>
        <w:br/>
      </w:r>
    </w:p>
    <w:sectPr>
      <w:footerReference xmlns:r="http://schemas.openxmlformats.org/officeDocument/2006/relationships" w:type="default" r:id="R449cb7e03eb1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11771852f40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cb7e03eb142a1" /><Relationship Type="http://schemas.openxmlformats.org/officeDocument/2006/relationships/header" Target="/word/header1.xml" Id="Rcd6ab878ff04408a" /><Relationship Type="http://schemas.openxmlformats.org/officeDocument/2006/relationships/settings" Target="/word/settings.xml" Id="R0dad2cc40fe84da3" /><Relationship Type="http://schemas.openxmlformats.org/officeDocument/2006/relationships/styles" Target="/word/styles.xml" Id="R73cb1402de97445b" /><Relationship Type="http://schemas.openxmlformats.org/officeDocument/2006/relationships/hyperlink" Target="https://meteor.aihw.gov.au/RegistrationAuthority/5" TargetMode="External" Id="R1a1c6913fa344cc5" /><Relationship Type="http://schemas.openxmlformats.org/officeDocument/2006/relationships/hyperlink" Target="http://www.atsihealthpracticeboard.gov.au/Codes-Guidelines/FAQ/Registration-and-how-to-apply.aspx" TargetMode="External" Id="Rcb608c94b1e84098" /><Relationship Type="http://schemas.openxmlformats.org/officeDocument/2006/relationships/hyperlink" Target="http://www.ahpra.gov.au/" TargetMode="External" Id="Ra10e2d80111b4ecd" /><Relationship Type="http://schemas.openxmlformats.org/officeDocument/2006/relationships/hyperlink" Target="http://www.aihw.gov.au/workforce" TargetMode="External" Id="R60a02c652a2a47e6" /><Relationship Type="http://schemas.openxmlformats.org/officeDocument/2006/relationships/hyperlink" Target="http://www.aihw.gov.au" TargetMode="External" Id="R836c8fe0443a4bc5" /><Relationship Type="http://schemas.openxmlformats.org/officeDocument/2006/relationships/hyperlink" Target="http://www.aihw.gov.au/workforce" TargetMode="External" Id="R222b50bd07bd406e" /><Relationship Type="http://schemas.openxmlformats.org/officeDocument/2006/relationships/hyperlink" Target="mailto:info@aihw.gov.au" TargetMode="External" Id="Rb350f251f6784ea5" /></Relationships>
</file>

<file path=word/_rels/header1.xml.rels>&#65279;<?xml version="1.0" encoding="utf-8"?><Relationships xmlns="http://schemas.openxmlformats.org/package/2006/relationships"><Relationship Type="http://schemas.openxmlformats.org/officeDocument/2006/relationships/image" Target="/media/image.png" Id="Rc3611771852f4009" /></Relationships>
</file>