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7850c8b07c43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13b38fb6447ca">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The Perinatal NMDS includes information on gestational age at first antenatal visit for births from July 2010. For births before July 2010, data collection is not consistent across jurisdictions. Caution should be used when interpreting results across time.</w:t>
            </w:r>
          </w:p>
          <w:p>
            <w:pPr>
              <w:pStyle w:val="ListParagraph"/>
              <w:numPr>
                <w:ilvl w:val="0"/>
                <w:numId w:val="2"/>
              </w:numPr>
            </w:pPr>
            <w:r>
              <w:rPr>
                <w:rStyle w:val="row-content-rich-text"/>
              </w:rPr>
              <w:t xml:space="preserve">In 2012, information about number of antenatal visits was available for New South Wales, Queensland, South Australia, Tasmania, the Australian Capital Territory and the Northern Territory for the whole year and for Western Australia for births from July 2012. Information on number of antenatal visits was collected using non-standardised definitions and with variable response rates. Comparisons between jurisdictions should therefore be made with caution.</w:t>
            </w:r>
          </w:p>
          <w:p>
            <w:pPr>
              <w:pStyle w:val="ListParagraph"/>
              <w:numPr>
                <w:ilvl w:val="0"/>
                <w:numId w:val="2"/>
              </w:numPr>
            </w:pPr>
            <w:r>
              <w:rPr>
                <w:rStyle w:val="row-content-rich-text"/>
              </w:rPr>
              <w:t xml:space="preserve">Since 2005, the NPDC has included information on the Indigenous status of the mother in accordance with the Perinatal NMDS.</w:t>
            </w:r>
          </w:p>
          <w:p>
            <w:pPr>
              <w:pStyle w:val="ListParagraph"/>
              <w:numPr>
                <w:ilvl w:val="0"/>
                <w:numId w:val="2"/>
              </w:numPr>
            </w:pPr>
            <w:r>
              <w:rPr>
                <w:rStyle w:val="row-content-rich-text"/>
              </w:rPr>
              <w:t xml:space="preserve">In 2012, 0.2% of mothers who gave birth had missing information on Indigenous status.</w:t>
            </w:r>
          </w:p>
          <w:p>
            <w:pPr>
              <w:pStyle w:val="ListParagraph"/>
              <w:numPr>
                <w:ilvl w:val="0"/>
                <w:numId w:val="2"/>
              </w:numPr>
            </w:pPr>
            <w:r>
              <w:rPr>
                <w:rStyle w:val="row-content-rich-text"/>
              </w:rPr>
              <w:t xml:space="preserve">Since the last reporting cycle, the standard population used for calculating age-standardised rates for mothers was amended from the Australian female population who gave birth in each reporting period to the Australian female Estimated Resident Population as at 30 June 2001. Data back to the baseline reporting year (2007) have been revised accordingly.</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e8befaf6407e4493">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current reporting cycle, NPDC data are provided for 2012. 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f888dd5fae8f4a82">
              <w:r>
                <w:rPr>
                  <w:rStyle w:val="Hyperlink"/>
                </w:rPr>
                <w:t xml:space="preserve">Australia’s mothers and babies</w:t>
              </w:r>
            </w:hyperlink>
            <w:r>
              <w:rPr>
                <w:rStyle w:val="row-content-rich-text"/>
              </w:rPr>
              <w:t xml:space="preserve">—annual reports on pregnancy and childbirth in Australia, including information about Indigenous mothers and babies</w:t>
            </w:r>
          </w:p>
          <w:p>
            <w:pPr>
              <w:pStyle w:val="ListParagraph"/>
              <w:numPr>
                <w:ilvl w:val="0"/>
                <w:numId w:val="3"/>
              </w:numPr>
            </w:pPr>
            <w:hyperlink w:history="true" r:id="R480f9e4e92164369">
              <w:r>
                <w:rPr>
                  <w:rStyle w:val="Hyperlink"/>
                </w:rPr>
                <w:t xml:space="preserve">Perinatal data portal (SAS VA</w:t>
              </w:r>
            </w:hyperlink>
            <w:r>
              <w:rPr>
                <w:rStyle w:val="row-content-rich-text"/>
              </w:rPr>
              <w:t xml:space="preserve">)—enables users to access and manipulate data from the National Perinatal Data Collection</w:t>
            </w:r>
          </w:p>
          <w:p>
            <w:pPr>
              <w:pStyle w:val="ListParagraph"/>
              <w:numPr>
                <w:ilvl w:val="0"/>
                <w:numId w:val="3"/>
              </w:numPr>
            </w:pPr>
            <w:hyperlink w:history="true" r:id="R47285085cb364e8e">
              <w:r>
                <w:rPr>
                  <w:rStyle w:val="Hyperlink"/>
                </w:rPr>
                <w:t xml:space="preserve">National Core Maternity Indicators reports and data portal  (SAS VA)</w:t>
              </w:r>
            </w:hyperlink>
          </w:p>
          <w:p>
            <w:pPr>
              <w:pStyle w:val="ListParagraph"/>
              <w:numPr>
                <w:ilvl w:val="0"/>
                <w:numId w:val="3"/>
              </w:numPr>
            </w:pPr>
            <w:hyperlink w:history="true" r:id="R48462212e2b34336">
              <w:r>
                <w:rPr>
                  <w:rStyle w:val="Hyperlink"/>
                </w:rPr>
                <w:t xml:space="preserve">The health and welfare of Australia’s Aboriginal and Torres Strait Islander peoples</w:t>
              </w:r>
            </w:hyperlink>
            <w:r>
              <w:rPr>
                <w:rStyle w:val="row-content-rich-text"/>
              </w:rPr>
              <w:t xml:space="preserve">.</w:t>
            </w:r>
          </w:p>
          <w:p>
            <w:pPr>
              <w:spacing w:after="160"/>
            </w:pPr>
            <w:r>
              <w:rPr>
                <w:rStyle w:val="row-content-rich-text"/>
              </w:rPr>
              <w:t xml:space="preserve">Ad 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851aa945828c4618">
              <w:r>
                <w:rPr>
                  <w:rStyle w:val="Hyperlink"/>
                </w:rPr>
                <w:t xml:space="preserve">Productivity Commission website</w:t>
              </w:r>
            </w:hyperlink>
            <w:r>
              <w:rPr>
                <w:rStyle w:val="row-content-rich-text"/>
              </w:rPr>
              <w:t xml:space="preserve">) and the </w:t>
            </w:r>
            <w:hyperlink w:history="true" r:id="R0317815dbfda4ee3">
              <w:r>
                <w:rPr>
                  <w:rStyle w:val="Hyperlink"/>
                </w:rPr>
                <w:t xml:space="preserve">Australia’s mothers and babies</w:t>
              </w:r>
            </w:hyperlink>
            <w:r>
              <w:rPr>
                <w:rStyle w:val="row-content-rich-text"/>
              </w:rPr>
              <w:t xml:space="preserve"> report, and biennially in the </w:t>
            </w:r>
            <w:hyperlink w:history="true" r:id="Rc02673880d984077">
              <w:r>
                <w:rPr>
                  <w:rStyle w:val="Hyperlink"/>
                </w:rPr>
                <w:t xml:space="preserve">Aboriginal and Torres Strait Islander Health Performance Framework</w:t>
              </w:r>
            </w:hyperlink>
            <w:r>
              <w:rPr>
                <w:rStyle w:val="row-content-rich-text"/>
              </w:rPr>
              <w:t xml:space="preserve"> reports and the </w:t>
            </w:r>
            <w:hyperlink w:history="true" r:id="Rbd6b279694e8412c">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including information on the quality of Indigenous status data and other data items used in the calculation of this indicator, are published annually in </w:t>
            </w:r>
            <w:hyperlink w:history="true" r:id="Ref549794eb0b459b">
              <w:r>
                <w:rPr>
                  <w:rStyle w:val="Hyperlink"/>
                </w:rPr>
                <w:t xml:space="preserve">Australia’s mothers and babies</w:t>
              </w:r>
            </w:hyperlink>
            <w:r>
              <w:rPr>
                <w:rStyle w:val="row-content-rich-text"/>
              </w:rPr>
              <w:t xml:space="preserve">, which is available on the </w:t>
            </w:r>
            <w:hyperlink w:history="true" r:id="R49081964b4fb4544">
              <w:r>
                <w:rPr>
                  <w:rStyle w:val="Hyperlink"/>
                </w:rPr>
                <w:t xml:space="preserve">AIHW website</w:t>
              </w:r>
            </w:hyperlink>
            <w:r>
              <w:rPr>
                <w:rStyle w:val="row-content-rich-text"/>
              </w:rPr>
              <w:t xml:space="preserve">. Comprehensive information on the quality of Perinatal NMDS data elements are published in </w:t>
            </w:r>
            <w:hyperlink w:history="true" r:id="R66330f379698453b">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7a0925462e0b411b">
              <w:r>
                <w:rPr>
                  <w:rStyle w:val="Hyperlink"/>
                </w:rPr>
                <w:t xml:space="preserve">METeOR</w:t>
              </w:r>
            </w:hyperlink>
            <w:r>
              <w:rPr>
                <w:rStyle w:val="row-content-rich-text"/>
              </w:rPr>
              <w:t xml:space="preserve">. Metadata information for the Perinatal NMDS are also published in METeOR and in the </w:t>
            </w:r>
            <w:hyperlink w:history="true" r:id="Ra9c2983e9ee347bc">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The Perinatal NMDS includes information on gestational age at first antenatal visit for births from July 2010. From 2011, data on number of women who gave birth who attended at least one antenatal visit in the first trimester are available for all states and territories. For births before July 2010, data collection is not consistent across jurisdictions. Caution should be used when interpreting results across time.</w:t>
            </w:r>
          </w:p>
          <w:p>
            <w:pPr>
              <w:spacing w:after="160"/>
            </w:pPr>
            <w:r>
              <w:rPr>
                <w:rStyle w:val="row-content-rich-text"/>
              </w:rPr>
              <w:t xml:space="preserve">A standard data item to collect the number of antenatal visits was introduced to the Perinatal NMDS from July 2013. In 2012, New South Wales, Queensland, South Australia, Tasmania, the Australian Capital Territory and the Northern Territory reported on number of antenatal visits for the whole year and Western Australia supplied data for births from July 2012. The combined data for these jurisdictions are not generalisable to Australia as a whole. Information collected on number of antenatal visits differed among the jurisdictions. Comparisons between states and territories should therefore be made with caution.</w:t>
            </w:r>
          </w:p>
          <w:p>
            <w:pPr>
              <w:spacing w:after="160"/>
            </w:pPr>
            <w:r>
              <w:rPr>
                <w:rStyle w:val="row-content-rich-text"/>
              </w:rPr>
              <w:t xml:space="preserve">While each jurisdiction has a unique form for collecting perinatal data on which the format of the Indigenous status question and recording categories varies slightly, all forms have included the NMDS item on Indigenous status of mother from 2005. The proportion of mothers who were Indigenous ranged from 3.5%–4.0% of all women who gave birth between 2002 and 2012. This varies by jurisdiction—for example, in 2012, the proportion of mothers who were Indigenous ranged from about 1% in Victoria to 36% in the Northern Territory.</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Analyses for this indicator exclude records with missing data for gestation at first antenatal visit and number of antenatal visits.</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the jurisdictions for review. The NPESU does not adjust the data to account for possible data errors or to correct for missing data.</w:t>
            </w:r>
          </w:p>
          <w:p>
            <w:pPr>
              <w:spacing w:after="160"/>
            </w:pPr>
            <w:r>
              <w:rPr>
                <w:rStyle w:val="row-content-rich-text"/>
              </w:rPr>
              <w:t xml:space="preserve">Following the supply of data to NPESU, further minor updates may be made to the data held by the jurisdictions. Such differences in the data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NPESU</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Data presented by Indigenous status are influenced by the quality and completeness of Indigenous identification of mothers which may differ across jurisdictions. In 2012, 0.2% of mothers who gave birth had missing information about their Indigenous status. Jurisdictional differences in the level of missing data for Indigenous status ranged from less than 0.1% to 1.8%.</w:t>
            </w:r>
          </w:p>
          <w:p>
            <w:pPr>
              <w:spacing w:after="160"/>
            </w:pPr>
            <w:r>
              <w:rPr>
                <w:rStyle w:val="row-content-rich-text"/>
              </w:rPr>
              <w:t xml:space="preserve">Data for 2012 on women who gave birth who attended at least one antenatal visit in the first trimester (defined as pregnancy durations up to and including 13 completed weeks gestational age) are available for all states and territories. However, the proportion of records with missing data for gestation at first antenatal visit varied across the jurisdictions: the Australian Capital Territory (0.02% of mothers who gave birth in 2012), the Northern Territory (0.7%), Queensland (0.9%), Victoria (1.0%), New South Wales (2.9%), South Australia (7.0%), Western Australia (8.1%) and Tasmania (20.3%).</w:t>
            </w:r>
          </w:p>
          <w:p>
            <w:pPr>
              <w:spacing w:after="160"/>
            </w:pPr>
            <w:r>
              <w:rPr>
                <w:rStyle w:val="row-content-rich-text"/>
              </w:rPr>
              <w:t xml:space="preserve">Reporting against number of antenatal visits, which was not introduced as a Perinatal NMDS data item until July 2013, is variable. The level of missing data for this item varied across jurisdictions in 2012: Queensland (less than 1%), the Northern Territory (1%), the Australian Capital Territory (2%), New South Wales (3%), South Australia (5%), Western Australia (15% for births from July 2012 onwards) and Tasmania (20%). Victoria had not implemented data collection for the number of antenatal visits in 2012.</w:t>
            </w:r>
          </w:p>
          <w:p>
            <w:pPr>
              <w:spacing w:after="160"/>
            </w:pPr>
            <w:r>
              <w:rPr>
                <w:rStyle w:val="row-content-rich-text"/>
              </w:rPr>
              <w:t xml:space="preserve">The number and timing of antenatal visits for women with missing data for these items may be different to those for whom data were reported.</w:t>
            </w:r>
          </w:p>
          <w:p>
            <w:pPr/>
            <w:r>
              <w:rPr>
                <w:rStyle w:val="row-content-rich-text"/>
              </w:rPr>
              <w:t xml:space="preserve">There are also differences in how the jurisdictions defined antenatal visits and gestation at first antenatal visit. Thus, comparisons between jurisdictions for those data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NMDS includes information on gestational age at first antenatal visit for births from July 2010. For births before July 2010, data on gestational age at first antenatal visit was not consistent across jurisdictions.</w:t>
            </w:r>
          </w:p>
          <w:p>
            <w:pPr>
              <w:spacing w:after="160"/>
            </w:pPr>
            <w:r>
              <w:rPr>
                <w:rStyle w:val="row-content-rich-text"/>
              </w:rPr>
              <w:t xml:space="preserve">A standard data item to collect the number of antenatal visits was introduced to the Perinatal NMDS from July 2013. In 2012 and earlier years, information collected on the number of antenatal visits differed among the jurisdictions. Comparisons between states and territories and over time should therefore be interpreted with caution.</w:t>
            </w:r>
          </w:p>
          <w:p>
            <w:pPr>
              <w:spacing w:after="160"/>
            </w:pPr>
            <w:r>
              <w:rPr>
                <w:rStyle w:val="row-content-rich-text"/>
              </w:rPr>
              <w:t xml:space="preserve">In 2012, New South Wales, Queensland, South Australia, Tasmania, the Australian Capital Territory and the Northern Territory reported on number of antenatal visits for the whole year and Western Australia supplied data for births from July 2012. The combined data for the jurisdictions are not generalisable to Australia as a whole.</w:t>
            </w:r>
          </w:p>
          <w:p>
            <w:pPr>
              <w:spacing w:after="160"/>
            </w:pPr>
            <w:r>
              <w:rPr>
                <w:rStyle w:val="row-content-rich-text"/>
              </w:rPr>
              <w:t xml:space="preserve">Changes in the level of missing information on antenatal care may affect the comparability of data over time, as the number and timing of antenatal visits for women with missing data may be distributed differently to those whose data have been reported.</w:t>
            </w:r>
          </w:p>
          <w:p>
            <w:pPr>
              <w:spacing w:after="160"/>
            </w:pPr>
            <w:r>
              <w:rPr>
                <w:rStyle w:val="row-content-rich-text"/>
              </w:rPr>
              <w:t xml:space="preserve">An interim measure is presented for this indicator with regard to number of antenatal visits, pending development and implementation of standard data definitions in the Perinatal NMDS. Data presented in future years may not be consistent or comparable with data presented here. In 2011, the Australian Bureau of Statistics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p>
            <w:pPr/>
            <w:r>
              <w:rPr>
                <w:rStyle w:val="row-content-rich-text"/>
              </w:rPr>
              <w:t xml:space="preserve">Since the last reporting cycle, the standard population used for calculating age-standardised rates for mothers was amended from the Australian female population who gave birth in each reporting period to the Australian female Estimated Resident Population as at 30 June 2001. Data back to the baseline reporting year (2007) have been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d9ea69b31d4bbc">
              <w:r>
                <w:rPr>
                  <w:rStyle w:val="Hyperlink"/>
                </w:rPr>
                <w:t xml:space="preserve">National Indigenous Reform Agreement: PI 09-Antenatal care, 2014 QS</w:t>
              </w:r>
            </w:hyperlink>
          </w:p>
          <w:p>
            <w:pPr>
              <w:spacing w:before="0" w:after="0"/>
            </w:pPr>
            <w:r>
              <w:rPr>
                <w:rStyle w:val="row-content"/>
                <w:color w:val="244061"/>
              </w:rPr>
              <w:t xml:space="preserve">       </w:t>
            </w:r>
            <w:hyperlink w:history="true" r:id="Red169f861b3b46c5">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e18f3c3a28024454">
              <w:r>
                <w:rPr>
                  <w:rStyle w:val="Hyperlink"/>
                </w:rPr>
                <w:t xml:space="preserve">National Indigenous Reform Agreement: PI 09-Antenatal care, 2015-16; Quality Statement</w:t>
              </w:r>
            </w:hyperlink>
          </w:p>
          <w:p>
            <w:pPr>
              <w:spacing w:before="0" w:after="0"/>
            </w:pPr>
            <w:r>
              <w:rPr>
                <w:rStyle w:val="row-content"/>
                <w:color w:val="244061"/>
              </w:rPr>
              <w:t xml:space="preserve">       </w:t>
            </w:r>
            <w:hyperlink w:history="true" r:id="R96f8daf636c347d7">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6d4138696aa4382">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fb36afb3c2df40a9">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e51e3c52ad1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62e4294bf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1e3c52ad14bbf" /><Relationship Type="http://schemas.openxmlformats.org/officeDocument/2006/relationships/header" Target="/word/header1.xml" Id="Rda6636d2236e41f2" /><Relationship Type="http://schemas.openxmlformats.org/officeDocument/2006/relationships/settings" Target="/word/settings.xml" Id="R25466a1847ee4e64" /><Relationship Type="http://schemas.openxmlformats.org/officeDocument/2006/relationships/styles" Target="/word/styles.xml" Id="R6bd73589282d49d8" /><Relationship Type="http://schemas.openxmlformats.org/officeDocument/2006/relationships/hyperlink" Target="https://meteor.aihw.gov.au/RegistrationAuthority/6" TargetMode="External" Id="R16f13b38fb6447ca" /><Relationship Type="http://schemas.openxmlformats.org/officeDocument/2006/relationships/numbering" Target="/word/numbering.xml" Id="Rbe6eabeafe614182" /><Relationship Type="http://schemas.openxmlformats.org/officeDocument/2006/relationships/hyperlink" Target="http://www.aihw.gov.au/" TargetMode="External" Id="Re8befaf6407e4493" /><Relationship Type="http://schemas.openxmlformats.org/officeDocument/2006/relationships/hyperlink" Target="http://www.aihw.gov.au/mothers-and-babies/" TargetMode="External" Id="Rf888dd5fae8f4a82" /><Relationship Type="http://schemas.openxmlformats.org/officeDocument/2006/relationships/hyperlink" Target="http://www.aihw.gov.au/perinatal-data/" TargetMode="External" Id="R480f9e4e92164369" /><Relationship Type="http://schemas.openxmlformats.org/officeDocument/2006/relationships/hyperlink" Target="http://www.aihw.gov.au/ncmi/" TargetMode="External" Id="R47285085cb364e8e" /><Relationship Type="http://schemas.openxmlformats.org/officeDocument/2006/relationships/hyperlink" Target="http://www.aihw.gov.au/publication-detail/?id=60129550168" TargetMode="External" Id="R48462212e2b34336" /><Relationship Type="http://schemas.openxmlformats.org/officeDocument/2006/relationships/hyperlink" Target="http://www.pc.gov.au/research/completed/national-agreements/indigenous-reform" TargetMode="External" Id="R851aa945828c4618" /><Relationship Type="http://schemas.openxmlformats.org/officeDocument/2006/relationships/hyperlink" Target="http://www.aihw.gov.au/mothers-and-babies/" TargetMode="External" Id="R0317815dbfda4ee3" /><Relationship Type="http://schemas.openxmlformats.org/officeDocument/2006/relationships/hyperlink" Target="http://www.aihw.gov.au/indigenous-data/health-performance-framework/" TargetMode="External" Id="Rc02673880d984077" /><Relationship Type="http://schemas.openxmlformats.org/officeDocument/2006/relationships/hyperlink" Target="http://www.pc.gov.au/research/recurring/overcoming-indigenous-disadvantage" TargetMode="External" Id="Rbd6b279694e8412c" /><Relationship Type="http://schemas.openxmlformats.org/officeDocument/2006/relationships/hyperlink" Target="http://www.aihw.gov.au/mothers-and-babies/" TargetMode="External" Id="Ref549794eb0b459b" /><Relationship Type="http://schemas.openxmlformats.org/officeDocument/2006/relationships/hyperlink" Target="http://www.aihw.gov.au/" TargetMode="External" Id="R49081964b4fb4544" /><Relationship Type="http://schemas.openxmlformats.org/officeDocument/2006/relationships/hyperlink" Target="http://www.aihw.gov.au/publication-detail/?id=10737422546" TargetMode="External" Id="R66330f379698453b" /><Relationship Type="http://schemas.openxmlformats.org/officeDocument/2006/relationships/hyperlink" Target="https://meteor.aihw.gov.au/content/181162" TargetMode="External" Id="R7a0925462e0b411b" /><Relationship Type="http://schemas.openxmlformats.org/officeDocument/2006/relationships/hyperlink" Target="https://meteor.aihw.gov.au/content/268110" TargetMode="External" Id="Ra9c2983e9ee347bc" /><Relationship Type="http://schemas.openxmlformats.org/officeDocument/2006/relationships/hyperlink" Target="https://meteor.aihw.gov.au/content/567202" TargetMode="External" Id="Rc9d9ea69b31d4bbc" /><Relationship Type="http://schemas.openxmlformats.org/officeDocument/2006/relationships/hyperlink" Target="https://meteor.aihw.gov.au/RegistrationAuthority/6" TargetMode="External" Id="Red169f861b3b46c5" /><Relationship Type="http://schemas.openxmlformats.org/officeDocument/2006/relationships/hyperlink" Target="https://meteor.aihw.gov.au/content/664692" TargetMode="External" Id="Re18f3c3a28024454" /><Relationship Type="http://schemas.openxmlformats.org/officeDocument/2006/relationships/hyperlink" Target="https://meteor.aihw.gov.au/RegistrationAuthority/6" TargetMode="External" Id="R96f8daf636c347d7" /><Relationship Type="http://schemas.openxmlformats.org/officeDocument/2006/relationships/hyperlink" Target="https://meteor.aihw.gov.au/content/579080" TargetMode="External" Id="Rf6d4138696aa4382" /><Relationship Type="http://schemas.openxmlformats.org/officeDocument/2006/relationships/hyperlink" Target="https://meteor.aihw.gov.au/RegistrationAuthority/6" TargetMode="External" Id="Rfb36afb3c2df40a9" /></Relationships>
</file>

<file path=word/_rels/header1.xml.rels>&#65279;<?xml version="1.0" encoding="utf-8"?><Relationships xmlns="http://schemas.openxmlformats.org/package/2006/relationships"><Relationship Type="http://schemas.openxmlformats.org/officeDocument/2006/relationships/image" Target="/media/image.png" Id="R3ba62e4294bf4743" /></Relationships>
</file>