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a9b24978894a8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8f40a5c564a4e">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deaths data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ce1838daa77f460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and causes of death data are published on an annual basis. Death records are provided electronically to the ABS by individual Registrars</w:t>
            </w:r>
            <w:r>
              <w:rPr>
                <w:rStyle w:val="row-content-rich-text"/>
              </w:rPr>
              <w:t xml:space="preserve"> </w:t>
            </w:r>
            <w:r>
              <w:rPr>
                <w:rStyle w:val="row-content-rich-text"/>
              </w:rPr>
              <w:t xml:space="preserve">of Births, Deaths and Marriages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r>
              <w:br/>
            </w:r>
            <w:r>
              <w:rPr>
                <w:rStyle w:val="row-content-rich-text"/>
              </w:rPr>
              <w:t xml:space="preserve">Preliminary Estimated Resident Population (ERP) data are compiled and published quarterly and are generally made available five to six months after the end of each reference quarter. Every year, the 30 June ERP data are further disaggregated by sex and single year of age, and are made available five to six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are based on actual traveller behaviour. Final estimates are made available every 5 years after a Census and revisions are made to estimates for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Recasting 20 years of ERP in the December quarter 2012 issue of </w:t>
            </w:r>
            <w:hyperlink w:history="true" r:id="Rccfa1f58a23f40db">
              <w:r>
                <w:rPr>
                  <w:rStyle w:val="Hyperlink"/>
                </w:rPr>
                <w:t xml:space="preserve">Australian Demographic Statistics (ABS cat. no. 3101.0)</w:t>
              </w:r>
            </w:hyperlink>
            <w:r>
              <w:rPr>
                <w:rStyle w:val="row-content-rich-text"/>
              </w:rPr>
              <w:t xml:space="preserve">.</w:t>
            </w:r>
          </w:p>
          <w:p>
            <w:r>
              <w:br/>
            </w:r>
            <w:r>
              <w:rPr>
                <w:rStyle w:val="row-content-rich-text"/>
              </w:rPr>
              <w:t xml:space="preserve">For further information on ABS ERP data,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under the </w:t>
            </w:r>
            <w:hyperlink w:history="true" r:id="R901a8fe820914d18">
              <w:r>
                <w:rPr>
                  <w:rStyle w:val="Hyperlink"/>
                </w:rPr>
                <w:t xml:space="preserve">3303.0</w:t>
              </w:r>
            </w:hyperlink>
            <w:r>
              <w:rPr>
                <w:rStyle w:val="row-content-rich-text"/>
              </w:rPr>
              <w:t xml:space="preserve"> product family. Deaths data are available in a variety of formats on the ABS website under the </w:t>
            </w:r>
            <w:hyperlink w:history="true" r:id="R89f5e4d7178b411b">
              <w:r>
                <w:rPr>
                  <w:rStyle w:val="Hyperlink"/>
                </w:rPr>
                <w:t xml:space="preserve">3302.0</w:t>
              </w:r>
            </w:hyperlink>
            <w:r>
              <w:rPr>
                <w:rStyle w:val="row-content-rich-text"/>
              </w:rPr>
              <w:t xml:space="preserve"> product family. ERP and Estimated Indigenous Population data is available in a variety of formats on the ABS website under the </w:t>
            </w:r>
            <w:hyperlink w:history="true" r:id="R819beb0bc2b542cb">
              <w:r>
                <w:rPr>
                  <w:rStyle w:val="Hyperlink"/>
                </w:rPr>
                <w:t xml:space="preserve">3101.0</w:t>
              </w:r>
            </w:hyperlink>
            <w:r>
              <w:rPr>
                <w:rStyle w:val="row-content-rich-text"/>
              </w:rPr>
              <w:t xml:space="preserve"> and </w:t>
            </w:r>
            <w:hyperlink w:history="true" r:id="Raa1ca10ccf53413d">
              <w:r>
                <w:rPr>
                  <w:rStyle w:val="Hyperlink"/>
                </w:rPr>
                <w:t xml:space="preserve">3238.0</w:t>
              </w:r>
            </w:hyperlink>
            <w:r>
              <w:rPr>
                <w:rStyle w:val="row-content-rich-text"/>
              </w:rPr>
              <w:t xml:space="preserve"> product families. Further information on deaths and mortality may be available on request. The ABS observes strict confidentiality protocols as required by the </w:t>
            </w:r>
            <w:r>
              <w:rPr>
                <w:rStyle w:val="row-content-rich-text"/>
                <w:i/>
              </w:rPr>
              <w:t xml:space="preserve">Census and Statistics Act</w:t>
            </w:r>
            <w:r>
              <w:rPr>
                <w:rStyle w:val="row-content-rich-text"/>
                <w:i/>
              </w:rPr>
              <w:t xml:space="preserve">1905</w:t>
            </w:r>
            <w:r>
              <w:rPr>
                <w:rStyle w:val="row-content-rich-text"/>
              </w:rPr>
              <w:t xml:space="preserve">. This may restrict access to data at a very detailed level.</w:t>
            </w:r>
          </w:p>
          <w:p>
            <w:pPr/>
            <w:r>
              <w:rPr>
                <w:rStyle w:val="row-content-rich-text"/>
              </w:rPr>
              <w:t xml:space="preserve">Data for this indicator are published annually in the National Indigenous Reform Agreement information reports (which are available on the </w:t>
            </w:r>
            <w:hyperlink w:history="true" r:id="Re1a2c9d05a0447f4">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direct method, to 75 years and over,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w:t>
            </w:r>
            <w:r>
              <w:rPr>
                <w:rStyle w:val="row-content-rich-text"/>
              </w:rPr>
              <w:t xml:space="preserve">, ABS cat. no. 3101.0). Age-standardised results provide a measure of relative difference only between populations.</w:t>
            </w:r>
          </w:p>
          <w:p>
            <w:pPr/>
            <w:r>
              <w:rPr>
                <w:rStyle w:val="row-content-rich-text"/>
              </w:rPr>
              <w:t xml:space="preserve">Information on how to interpret and use the data appropriately is available from </w:t>
            </w:r>
            <w:hyperlink w:history="true" r:id="R63a40014c2ff4be1">
              <w:r>
                <w:rPr>
                  <w:rStyle w:val="Hyperlink"/>
                </w:rPr>
                <w:t xml:space="preserve">Explanatory Notes</w:t>
              </w:r>
            </w:hyperlink>
            <w:r>
              <w:rPr>
                <w:rStyle w:val="row-content-rich-text"/>
              </w:rPr>
              <w:t xml:space="preserve"> in </w:t>
            </w:r>
            <w:hyperlink w:history="true" r:id="R065f141033844b2f">
              <w:r>
                <w:rPr>
                  <w:rStyle w:val="Hyperlink"/>
                </w:rPr>
                <w:t xml:space="preserve">Causes of Death, Australia (3303.0)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Deaths and Causes of Death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Deaths and Causes of Death collections,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It is likely that some deaths of Indigenous people are not accurately identified as Indigenous deaths.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r>
              <w:rPr>
                <w:rStyle w:val="row-content-rich-text"/>
                <w:i/>
              </w:rPr>
              <w:t xml:space="preserve">Causes of Death, Australia, 2010 </w:t>
            </w:r>
            <w:r>
              <w:rPr>
                <w:rStyle w:val="row-content-rich-text"/>
              </w:rPr>
              <w:t xml:space="preserve">publication (ABS cat. no. 3303.0) and 2010 data reported for the Council Of Australian Governments (COAG), as this adjustment was not applied in the publication. For further details see Technical Note:</w:t>
            </w:r>
            <w:r>
              <w:rPr>
                <w:rStyle w:val="row-content-rich-text"/>
                <w:i/>
              </w:rPr>
              <w:t xml:space="preserve"> Registration of outstanding deaths,</w:t>
            </w:r>
            <w:r>
              <w:rPr>
                <w:rStyle w:val="row-content-rich-text"/>
                <w:i/>
              </w:rPr>
              <w:t xml:space="preserve">Queensland 2010</w:t>
            </w:r>
            <w:r>
              <w:rPr>
                <w:rStyle w:val="row-content-rich-text"/>
              </w:rPr>
              <w:t xml:space="preserve">, from the </w:t>
            </w:r>
            <w:r>
              <w:rPr>
                <w:rStyle w:val="row-content-rich-text"/>
                <w:i/>
              </w:rPr>
              <w:t xml:space="preserve">Deaths, Australia, 2010 </w:t>
            </w:r>
            <w:r>
              <w:rPr>
                <w:rStyle w:val="row-content-rich-text"/>
              </w:rPr>
              <w:t xml:space="preserve">publication (ABS cat. no. 3302.0) and Explanatory Note 103 in the </w:t>
            </w:r>
            <w:r>
              <w:rPr>
                <w:rStyle w:val="row-content-rich-text"/>
                <w:i/>
              </w:rPr>
              <w:t xml:space="preserve">Causes of Death, Australia, 2010</w:t>
            </w:r>
            <w:r>
              <w:rPr>
                <w:rStyle w:val="row-content-rich-text"/>
              </w:rPr>
              <w:t xml:space="preserve"> publication (ABS cat. no. 3303.0).</w:t>
            </w:r>
          </w:p>
          <w:p>
            <w:pPr>
              <w:spacing w:after="160"/>
            </w:pPr>
            <w:r>
              <w:rPr>
                <w:rStyle w:val="row-content-rich-text"/>
              </w:rPr>
              <w:t xml:space="preserve">Investigation conducted by the Western Australian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the </w:t>
            </w:r>
            <w:r>
              <w:rPr>
                <w:rStyle w:val="row-content-rich-text"/>
                <w:i/>
              </w:rPr>
              <w:t xml:space="preserve">Deaths, Australia </w:t>
            </w:r>
            <w:r>
              <w:rPr>
                <w:rStyle w:val="row-content-rich-text"/>
              </w:rPr>
              <w:t xml:space="preserve">publication, or in the 2011 COAG data supply. The Western Australian Registry corrected the data and resupplied the corrected data to the ABS. These corrected data were then released by the ABS in spreadsheets attached to </w:t>
            </w:r>
            <w:r>
              <w:rPr>
                <w:rStyle w:val="row-content-rich-text"/>
                <w:i/>
              </w:rPr>
              <w:t xml:space="preserve">Deaths, Australia, 2010 </w:t>
            </w:r>
            <w:r>
              <w:rPr>
                <w:rStyle w:val="row-content-rich-text"/>
              </w:rPr>
              <w:t xml:space="preserve">(ABS cat. no. 3302.0) publication on 24 May 2012, and are included in this round of COAG reporting. In addition, 3 deaths in Western Australia for 2009 which were wrongly coded as deaths of Indigenous people have been corrected as deaths of non-Indigenous people in this round of COAG reporting.</w:t>
            </w:r>
            <w:r>
              <w:br/>
            </w:r>
            <w:r>
              <w:rPr>
                <w:rStyle w:val="row-content-rich-text"/>
              </w:rPr>
              <w:t xml:space="preserve"> </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(for example, finalisation of coronial proceedings). A balance needs to be maintained between accuracy (completeness) of data and timeliness, taking account of the different needs of users. For further information, see Technical </w:t>
            </w:r>
            <w:r>
              <w:rPr>
                <w:rStyle w:val="row-content-rich-text"/>
                <w:i/>
              </w:rPr>
              <w:t xml:space="preserve">Note: Causes of Death Revisions 2009 and 2010 </w:t>
            </w:r>
            <w:r>
              <w:rPr>
                <w:rStyle w:val="row-content-rich-text"/>
              </w:rPr>
              <w:t xml:space="preserve">in </w:t>
            </w:r>
            <w:hyperlink w:history="true" r:id="R977cb4002f894436">
              <w:r>
                <w:rPr>
                  <w:rStyle w:val="Hyperlink"/>
                </w:rPr>
                <w:t xml:space="preserve">Causes of Death, Australia, 2011 (ABS cat.no. 3303.0).</w:t>
              </w:r>
            </w:hyperlink>
          </w:p>
          <w:p>
            <w:r>
              <w:br/>
            </w: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d578672ccf9244d4">
              <w:r>
                <w:rPr>
                  <w:rStyle w:val="Hyperlink"/>
                </w:rPr>
                <w:t xml:space="preserve">Demography Working Paper 1998/2 - Quarterly birth and death estimates, 1998 (ABS cat. no. 3114.0)</w:t>
              </w:r>
            </w:hyperlink>
            <w:r>
              <w:rPr>
                <w:rStyle w:val="row-content-rich-text"/>
              </w:rPr>
              <w:t xml:space="preserve"> and</w:t>
            </w:r>
            <w:hyperlink w:history="true" r:id="Rc74094dcb4ff4a7f">
              <w:r>
                <w:rPr>
                  <w:rStyle w:val="Hyperlink"/>
                </w:rPr>
                <w:t xml:space="preserve"> Australian Demographic Statistics (ABS cat. no. 3101.0).</w:t>
              </w:r>
            </w:hyperlink>
          </w:p>
          <w:p>
            <w:r>
              <w:br/>
            </w: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r>
              <w:br/>
            </w:r>
            <w:r>
              <w:rPr>
                <w:rStyle w:val="row-content-rich-text"/>
              </w:rPr>
              <w:t xml:space="preserve"> </w:t>
            </w:r>
          </w:p>
          <w:p>
            <w:pPr>
              <w:spacing w:after="160"/>
            </w:pPr>
            <w:r>
              <w:rPr>
                <w:rStyle w:val="row-content-rich-text"/>
              </w:rPr>
              <w:t xml:space="preserve">Non-Indigenous data from the Deaths and Causes of Death collections do not include death registrations with a ‘not stated’ Indigenous status.</w:t>
            </w:r>
            <w:r>
              <w:br/>
            </w:r>
            <w:r>
              <w:rPr>
                <w:rStyle w:val="row-content-rich-text"/>
              </w:rPr>
              <w:t xml:space="preserve"> </w:t>
            </w:r>
          </w:p>
          <w:p>
            <w:pPr/>
            <w:r>
              <w:rPr>
                <w:rStyle w:val="row-content-rich-text"/>
              </w:rPr>
              <w:t xml:space="preserve">Some rates are unreliable due to small numbers of deaths over the reference period. Resultant rates could be misleading.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3768c68b8b4c92">
              <w:r>
                <w:rPr>
                  <w:rStyle w:val="Hyperlink"/>
                </w:rPr>
                <w:t xml:space="preserve">National Indigenous Reform Agreement: PI 02-Mortality rate by leading causes, 2014 QS</w:t>
              </w:r>
            </w:hyperlink>
          </w:p>
          <w:p>
            <w:pPr>
              <w:spacing w:before="0" w:after="0"/>
            </w:pPr>
            <w:r>
              <w:rPr>
                <w:rStyle w:val="row-content"/>
                <w:color w:val="244061"/>
              </w:rPr>
              <w:t xml:space="preserve">       </w:t>
            </w:r>
            <w:hyperlink w:history="true" r:id="R8ffb33fdfa3e4f7f">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742c3d11e92c4848">
              <w:r>
                <w:rPr>
                  <w:rStyle w:val="Hyperlink"/>
                </w:rPr>
                <w:t xml:space="preserve">National Indigenous Reform Agreement: PI 02-Mortality rate by leading causes, 2015-16; Quality Statement</w:t>
              </w:r>
            </w:hyperlink>
          </w:p>
          <w:p>
            <w:pPr>
              <w:spacing w:before="0" w:after="0"/>
            </w:pPr>
            <w:r>
              <w:rPr>
                <w:rStyle w:val="row-content"/>
                <w:color w:val="244061"/>
              </w:rPr>
              <w:t xml:space="preserve">       </w:t>
            </w:r>
            <w:hyperlink w:history="true" r:id="R1c1ff2581f3c4a0d">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b417421228f4acc">
              <w:r>
                <w:rPr>
                  <w:rStyle w:val="Hyperlink"/>
                </w:rPr>
                <w:t xml:space="preserve">National Indigenous Reform Agreement: PI 02-Mortality rate by leading causes, 2015</w:t>
              </w:r>
            </w:hyperlink>
          </w:p>
          <w:p>
            <w:pPr>
              <w:spacing w:before="0" w:after="0"/>
            </w:pPr>
            <w:r>
              <w:rPr>
                <w:rStyle w:val="row-content"/>
                <w:color w:val="244061"/>
              </w:rPr>
              <w:t xml:space="preserve">       </w:t>
            </w:r>
            <w:hyperlink w:history="true" r:id="R03ef0819bc634b1f">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cba23dac7a59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593415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a0d33f3c67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23dac7a5944b0" /><Relationship Type="http://schemas.openxmlformats.org/officeDocument/2006/relationships/header" Target="/word/header1.xml" Id="R05c675fa2f6d45ef" /><Relationship Type="http://schemas.openxmlformats.org/officeDocument/2006/relationships/settings" Target="/word/settings.xml" Id="Rcd6c92c4be694afa" /><Relationship Type="http://schemas.openxmlformats.org/officeDocument/2006/relationships/styles" Target="/word/styles.xml" Id="R927e977ffe0c4c60" /><Relationship Type="http://schemas.openxmlformats.org/officeDocument/2006/relationships/hyperlink" Target="https://meteor.aihw.gov.au/RegistrationAuthority/6" TargetMode="External" Id="R1b48f40a5c564a4e" /><Relationship Type="http://schemas.openxmlformats.org/officeDocument/2006/relationships/hyperlink" Target="http://www.abs.gov.au/websitedbs/D3310114.nsf/4a256353001af3ed4b2562bb00121564/10ca14cb967e5b83ca2573ae00197b65!OpenDocument" TargetMode="External" Id="Rce1838daa77f460e" /><Relationship Type="http://schemas.openxmlformats.org/officeDocument/2006/relationships/hyperlink" Target="http://www.abs.gov.au/AUSSTATS/abs@.nsf/mf/3101.0" TargetMode="External" Id="Rccfa1f58a23f40db" /><Relationship Type="http://schemas.openxmlformats.org/officeDocument/2006/relationships/hyperlink" Target="http://www.abs.gov.au/AUSSTATS/abs@.nsf/allprimarymainfeatures/2AEDDE570E3A6539CA257E18000F9291?opendocument" TargetMode="External" Id="R901a8fe820914d18" /><Relationship Type="http://schemas.openxmlformats.org/officeDocument/2006/relationships/hyperlink" Target="http://www.abs.gov.au/AUSSTATS/abs@.nsf/second+level+view?ReadForm&amp;amp;prodno=3302.0&amp;amp;viewtitle=Deaths,%20Australia~2013~Latest~06/11/2014&amp;amp;&amp;amp;tabname=Past%20Future%20Issues&amp;amp;prodno=3302.0&amp;amp;issue=2013&amp;amp;num=&amp;amp;view=&amp;amp;" TargetMode="External" Id="R89f5e4d7178b411b" /><Relationship Type="http://schemas.openxmlformats.org/officeDocument/2006/relationships/hyperlink" Target="http://www.abs.gov.au/ausstats/abs@.nsf/mf/3101.0" TargetMode="External" Id="R819beb0bc2b542cb" /><Relationship Type="http://schemas.openxmlformats.org/officeDocument/2006/relationships/hyperlink" Target="http://www.abs.gov.au/ausstats/abs@.nsf/mf/3238.0" TargetMode="External" Id="Raa1ca10ccf53413d" /><Relationship Type="http://schemas.openxmlformats.org/officeDocument/2006/relationships/hyperlink" Target="http://www.pc.gov.au/research/completed/national-agreements/indigenous-reform" TargetMode="External" Id="Re1a2c9d05a0447f4" /><Relationship Type="http://schemas.openxmlformats.org/officeDocument/2006/relationships/hyperlink" Target="http://www.abs.gov.au/ausstats/abs@.nsf/mf/3303.0" TargetMode="External" Id="R63a40014c2ff4be1" /><Relationship Type="http://schemas.openxmlformats.org/officeDocument/2006/relationships/hyperlink" Target="http://www.abs.gov.au/ausstats/abs@.nsf/mf/3303.0" TargetMode="External" Id="R065f141033844b2f" /><Relationship Type="http://schemas.openxmlformats.org/officeDocument/2006/relationships/hyperlink" Target="http://www.abs.gov.au/ausstats/abs@.nsf/mf/3303.0" TargetMode="External" Id="R977cb4002f894436" /><Relationship Type="http://schemas.openxmlformats.org/officeDocument/2006/relationships/hyperlink" Target="http://www.abs.gov.au/AUSSTATS/abs@.nsf/ProductsbyCatalogue/B5BE54544A5DAFEFCA257061001F4540?OpenDocument" TargetMode="External" Id="Rd578672ccf9244d4" /><Relationship Type="http://schemas.openxmlformats.org/officeDocument/2006/relationships/hyperlink" Target="http://www.abs.gov.au/ausstats/abs@.nsf/mf/3101.0" TargetMode="External" Id="Rc74094dcb4ff4a7f" /><Relationship Type="http://schemas.openxmlformats.org/officeDocument/2006/relationships/hyperlink" Target="https://meteor.aihw.gov.au/content/567126" TargetMode="External" Id="R9c3768c68b8b4c92" /><Relationship Type="http://schemas.openxmlformats.org/officeDocument/2006/relationships/hyperlink" Target="https://meteor.aihw.gov.au/RegistrationAuthority/6" TargetMode="External" Id="R8ffb33fdfa3e4f7f" /><Relationship Type="http://schemas.openxmlformats.org/officeDocument/2006/relationships/hyperlink" Target="https://meteor.aihw.gov.au/content/664678" TargetMode="External" Id="R742c3d11e92c4848" /><Relationship Type="http://schemas.openxmlformats.org/officeDocument/2006/relationships/hyperlink" Target="https://meteor.aihw.gov.au/RegistrationAuthority/6" TargetMode="External" Id="R1c1ff2581f3c4a0d" /><Relationship Type="http://schemas.openxmlformats.org/officeDocument/2006/relationships/hyperlink" Target="https://meteor.aihw.gov.au/content/579065" TargetMode="External" Id="Rfb417421228f4acc" /><Relationship Type="http://schemas.openxmlformats.org/officeDocument/2006/relationships/hyperlink" Target="https://meteor.aihw.gov.au/RegistrationAuthority/6" TargetMode="External" Id="R03ef0819bc634b1f" /></Relationships>
</file>

<file path=word/_rels/header1.xml.rels>&#65279;<?xml version="1.0" encoding="utf-8"?><Relationships xmlns="http://schemas.openxmlformats.org/package/2006/relationships"><Relationship Type="http://schemas.openxmlformats.org/officeDocument/2006/relationships/image" Target="/media/image.png" Id="Rcfa0d33f3c6748ba" /></Relationships>
</file>