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cb9268ed343e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b8668df1448d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30e86d7c03854e89">
              <w:r>
                <w:rPr>
                  <w:rStyle w:val="Hyperlink"/>
                  <w:b/>
                </w:rPr>
                <w:t xml:space="preserve">rapid response team</w:t>
              </w:r>
            </w:hyperlink>
            <w:r>
              <w:rPr>
                <w:rStyle w:val="row-content-rich-text"/>
              </w:rPr>
              <w:t xml:space="preserve"> called to attend to manifest or suspected urgent clinical deterioration during an episode of admitted patient care,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847553464d43af">
              <w:r>
                <w:rPr>
                  <w:rStyle w:val="Hyperlink"/>
                </w:rPr>
                <w:t xml:space="preserve">Episode of admitted patient care—rapid response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d8a05f3ca8414c">
              <w:r>
                <w:rPr>
                  <w:rStyle w:val="Hyperlink"/>
                </w:rPr>
                <w:t xml:space="preserve">Rapid response outcome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remained in same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transferred to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transferred to critical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transferred to transitional care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transferred to cardiac monitoring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transferred to another area for procedural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transferred to another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died</w:t>
            </w:r>
          </w:p>
          <w:p>
            <w:pPr>
              <w:spacing w:after="160"/>
            </w:pPr>
            <w:r>
              <w:rPr>
                <w:rStyle w:val="row-content-rich-text"/>
              </w:rPr>
              <w:t xml:space="preserve">Code 1 is used when a patient was dead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2   Patient remained in same location</w:t>
            </w:r>
          </w:p>
          <w:p>
            <w:pPr>
              <w:spacing w:after="160"/>
            </w:pPr>
            <w:r>
              <w:rPr>
                <w:rStyle w:val="row-content-rich-text"/>
              </w:rPr>
              <w:t xml:space="preserve">Code 2 is used when the patient remained in the same location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3   Patient transferred to Intensive Care Unit</w:t>
            </w:r>
          </w:p>
          <w:p>
            <w:pPr>
              <w:spacing w:after="160"/>
            </w:pPr>
            <w:r>
              <w:rPr>
                <w:rStyle w:val="row-content-rich-text"/>
              </w:rPr>
              <w:t xml:space="preserve">Code 3 is used when a patient was transferred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86114e4ac1244a3">
              <w:r>
                <w:rPr>
                  <w:rStyle w:val="Hyperlink"/>
                  <w:b/>
                </w:rPr>
                <w:t xml:space="preserve">Intensive Care Unit</w:t>
              </w:r>
            </w:hyperlink>
            <w:r>
              <w:rPr>
                <w:rStyle w:val="row-content-rich-text"/>
              </w:rPr>
              <w:t xml:space="preserve">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4   Patient transferred to critical care area</w:t>
            </w:r>
          </w:p>
          <w:p>
            <w:pPr>
              <w:spacing w:after="160"/>
            </w:pPr>
            <w:r>
              <w:rPr>
                <w:rStyle w:val="row-content-rich-text"/>
              </w:rPr>
              <w:t xml:space="preserve">Code 4 is used when a patient was transferred to a critical care area other than the Intensive Care Unit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5   Patient transferred to transitional care area</w:t>
            </w:r>
          </w:p>
          <w:p>
            <w:pPr>
              <w:spacing w:after="160"/>
            </w:pPr>
            <w:r>
              <w:rPr>
                <w:rStyle w:val="row-content-rich-text"/>
              </w:rPr>
              <w:t xml:space="preserve">Code 5 is used when, at the time of the completion of the care provided by a rapid response team called to attend to manifest or suspected urgent clinical deterioration during an episode of admitted patient care, a patient was transferred to an area providing a level of care in between a critical care area and a general admitted patient care area. Transfers to transitional care areas exclude transfers to beds for patients who only require cardiac monitoring and transfers to beds for acute psychiatric care.</w:t>
            </w:r>
          </w:p>
          <w:p>
            <w:pPr>
              <w:spacing w:after="160"/>
            </w:pPr>
            <w:r>
              <w:rPr>
                <w:rStyle w:val="row-content-rich-text"/>
              </w:rPr>
              <w:t xml:space="preserve">CODE 6   Patient transferred to cardiac monitoring area</w:t>
            </w:r>
          </w:p>
          <w:p>
            <w:pPr>
              <w:spacing w:after="160"/>
            </w:pPr>
            <w:r>
              <w:rPr>
                <w:rStyle w:val="row-content-rich-text"/>
              </w:rPr>
              <w:t xml:space="preserve">Code 6 is used when, at the time of the completion of the care provided by a rapid response team called to attend to manifest or suspected urgent clinical deterioration during an episode of admitted patient care, a patient was transferred to an area (outside of critical care and transitional care areas) dedicated to real-time monitoring of the patient's cardiac rhythm. Real-time cardiac monitoring refers to the ability of staff caring for the patient to observe the patient's cardiac rhythm at all times.</w:t>
            </w:r>
          </w:p>
          <w:p>
            <w:pPr>
              <w:spacing w:after="160"/>
            </w:pPr>
            <w:r>
              <w:rPr>
                <w:rStyle w:val="row-content-rich-text"/>
              </w:rPr>
              <w:t xml:space="preserve">CODE 7   Patient transferred to another area for procedural intervention</w:t>
            </w:r>
          </w:p>
          <w:p>
            <w:pPr>
              <w:spacing w:after="160"/>
            </w:pPr>
            <w:r>
              <w:rPr>
                <w:rStyle w:val="row-content-rich-text"/>
              </w:rPr>
              <w:t xml:space="preserve">Code 7 is used when, at the time of the completion of the care provided by a rapid response team called to attend to manifest or suspected urgent clinical deterioration during an episode of admitted patient care, a patient was transferred to another specific area where diagnostic or therapeutic operations or procedures are performed. Examples of areas for procedural intervention include the operating theatre, cardiac catheterisation area, endoscopy area, and interventional radiology area.</w:t>
            </w:r>
          </w:p>
          <w:p>
            <w:pPr>
              <w:spacing w:after="160"/>
            </w:pPr>
            <w:r>
              <w:rPr>
                <w:rStyle w:val="row-content-rich-text"/>
              </w:rPr>
              <w:t xml:space="preserve">CODE 8   Patient transferred to another acute care hospital</w:t>
            </w:r>
          </w:p>
          <w:p>
            <w:pPr>
              <w:spacing w:after="160"/>
            </w:pPr>
            <w:r>
              <w:rPr>
                <w:rStyle w:val="row-content-rich-text"/>
              </w:rPr>
              <w:t xml:space="preserve">Code 8 is used when a patient was discharged or transferred to an(other) acute care hospital at the time of the completion of the care provided by a rapid response team called to attend to manifest or suspected urgent clinical deterioration during an episode of admitted patient care.</w:t>
            </w:r>
          </w:p>
          <w:p>
            <w:pPr>
              <w:spacing w:after="160"/>
            </w:pPr>
            <w:r>
              <w:rPr>
                <w:rStyle w:val="row-content-rich-text"/>
              </w:rPr>
              <w:t xml:space="preserve">CODE 88   Other</w:t>
            </w:r>
          </w:p>
          <w:p>
            <w:pPr>
              <w:spacing w:after="160"/>
            </w:pPr>
            <w:r>
              <w:rPr>
                <w:rStyle w:val="row-content-rich-text"/>
              </w:rPr>
              <w:t xml:space="preserve">Code 88 is used when a patient was alive at the time of the completion of the care provided by a rapid response team called to attend to manifest or suspected urgent clinical deterioration during an episode of admitted patient care, but none of the above options apply.</w:t>
            </w:r>
          </w:p>
          <w:p>
            <w:pPr>
              <w:spacing w:after="160"/>
            </w:pPr>
            <w:r>
              <w:rPr>
                <w:rStyle w:val="row-content-rich-text"/>
              </w:rPr>
              <w:t xml:space="preserve">CODE 99   Not stated/inadequately described</w:t>
            </w:r>
          </w:p>
          <w:p>
            <w:pPr/>
            <w:r>
              <w:rPr>
                <w:rStyle w:val="row-content-rich-text"/>
              </w:rPr>
              <w:t xml:space="preserve">Code 99 is used when it is not clear or there is inadequate documentation on whether a patient was alive or dead or where the patient was transferred to, at the time of the completion of the care provided by a rapid response team called to attend to manifest or suspected urgent clinical deterioration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completion of the care provided by the rapid response team is the time when the team activation was formally declared as completed by the team leader and/or the time that all of the team members departed.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633dd830914f2d">
              <w:r>
                <w:rPr>
                  <w:rStyle w:val="Hyperlink"/>
                </w:rPr>
                <w:t xml:space="preserve">Hospital rapid response calls cluster</w:t>
              </w:r>
            </w:hyperlink>
          </w:p>
          <w:p>
            <w:pPr>
              <w:spacing w:before="0" w:after="0"/>
            </w:pPr>
            <w:r>
              <w:rPr>
                <w:rStyle w:val="row-content"/>
                <w:color w:val="244061"/>
              </w:rPr>
              <w:t xml:space="preserve">       </w:t>
            </w:r>
            <w:hyperlink w:history="true" r:id="R0639bef14edc48f9">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a03be99ae335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84c9b6082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3be99ae3354999" /><Relationship Type="http://schemas.openxmlformats.org/officeDocument/2006/relationships/header" Target="/word/header1.xml" Id="Rdd9168cc58d84419" /><Relationship Type="http://schemas.openxmlformats.org/officeDocument/2006/relationships/settings" Target="/word/settings.xml" Id="R76c5d7da859343d3" /><Relationship Type="http://schemas.openxmlformats.org/officeDocument/2006/relationships/styles" Target="/word/styles.xml" Id="R17a224c5a8654b46" /><Relationship Type="http://schemas.openxmlformats.org/officeDocument/2006/relationships/hyperlink" Target="https://meteor.aihw.gov.au/RegistrationAuthority/12" TargetMode="External" Id="Re6cb8668df1448df" /><Relationship Type="http://schemas.openxmlformats.org/officeDocument/2006/relationships/hyperlink" Target="https://meteor.aihw.gov.au/content/592338" TargetMode="External" Id="R30e86d7c03854e89" /><Relationship Type="http://schemas.openxmlformats.org/officeDocument/2006/relationships/hyperlink" Target="https://meteor.aihw.gov.au/content/593131" TargetMode="External" Id="R5c847553464d43af" /><Relationship Type="http://schemas.openxmlformats.org/officeDocument/2006/relationships/hyperlink" Target="https://meteor.aihw.gov.au/content/594008" TargetMode="External" Id="R65d8a05f3ca8414c" /><Relationship Type="http://schemas.openxmlformats.org/officeDocument/2006/relationships/hyperlink" Target="https://meteor.aihw.gov.au/content/327234" TargetMode="External" Id="R886114e4ac1244a3" /><Relationship Type="http://schemas.openxmlformats.org/officeDocument/2006/relationships/hyperlink" Target="https://meteor.aihw.gov.au/content/593582" TargetMode="External" Id="R81633dd830914f2d" /><Relationship Type="http://schemas.openxmlformats.org/officeDocument/2006/relationships/hyperlink" Target="https://meteor.aihw.gov.au/RegistrationAuthority/12" TargetMode="External" Id="R0639bef14edc48f9" /></Relationships>
</file>

<file path=word/_rels/header1.xml.rels>&#65279;<?xml version="1.0" encoding="utf-8"?><Relationships xmlns="http://schemas.openxmlformats.org/package/2006/relationships"><Relationship Type="http://schemas.openxmlformats.org/officeDocument/2006/relationships/image" Target="/media/image.png" Id="R52584c9b60824b3f" /></Relationships>
</file>