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767cdf576f454b"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 2013-14;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 2013-14;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277b6e9ff488d">
              <w:r>
                <w:rPr>
                  <w:rStyle w:val="Hyperlink"/>
                  <w:color w:val="244061"/>
                </w:rPr>
                <w:t xml:space="preserve">AIHW Data Quality Statements</w:t>
              </w:r>
            </w:hyperlink>
            <w:r>
              <w:rPr>
                <w:rStyle w:val="row-content"/>
                <w:color w:val="244061"/>
              </w:rPr>
              <w:t xml:space="preserve">, Superseded 30/11/2016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National Non-admitted Patient Emergency Department Care Database (NNAPEDCD) is a compilation of episode-level data for presentations to selected emergency departments in Australian public hospitals.</w:t>
            </w:r>
          </w:p>
          <w:p>
            <w:pPr>
              <w:pStyle w:val="ListParagraph"/>
              <w:numPr>
                <w:ilvl w:val="0"/>
                <w:numId w:val="2"/>
              </w:numPr>
            </w:pPr>
            <w:r>
              <w:rPr>
                <w:rStyle w:val="row-content-rich-text"/>
              </w:rPr>
              <w:t xml:space="preserve">The NNAPEDCD is based on the Non-admitted patient emergency department care national minimum data set (NAPEDC NMDS).</w:t>
            </w:r>
          </w:p>
          <w:p>
            <w:pPr>
              <w:pStyle w:val="ListParagraph"/>
              <w:numPr>
                <w:ilvl w:val="0"/>
                <w:numId w:val="2"/>
              </w:numPr>
            </w:pPr>
            <w:r>
              <w:rPr>
                <w:rStyle w:val="row-content-rich-text"/>
              </w:rPr>
              <w:t xml:space="preserve">The scope of the NAPEDC NMDS changed between 2012-13 and 2013-14.</w:t>
            </w:r>
          </w:p>
          <w:p>
            <w:pPr>
              <w:spacing w:after="160"/>
            </w:pPr>
            <w:r>
              <w:rPr>
                <w:rStyle w:val="row-content-rich-text"/>
              </w:rPr>
              <w:t xml:space="preserve"> </w:t>
            </w:r>
          </w:p>
          <w:p>
            <w:pPr>
              <w:spacing w:after="160"/>
            </w:pPr>
            <w:r>
              <w:rPr>
                <w:rStyle w:val="row-content-rich-text"/>
              </w:rPr>
              <w:t xml:space="preserve">–          Between 2003-04 and 2012-13, the scope of the NAPEDC NMDS was:</w:t>
            </w:r>
          </w:p>
          <w:p>
            <w:pPr>
              <w:spacing w:after="160"/>
            </w:pPr>
            <w:r>
              <w:rPr>
                <w:rStyle w:val="row-content-rich-text"/>
              </w:rPr>
              <w:t xml:space="preserve">·           non-admitted patients registered for care in emergency departments in selected public hospitals that are classified as either Peer Group A or B in the Australian Institute of Health and Welfare’s Australian hospital statistics publication from the preceding financial year.</w:t>
            </w:r>
          </w:p>
          <w:p>
            <w:pPr>
              <w:spacing w:after="160"/>
            </w:pPr>
            <w:r>
              <w:rPr>
                <w:rStyle w:val="row-content-rich-text"/>
              </w:rPr>
              <w:t xml:space="preserve">–          For 2013-14, the scope of the NAPEDC NMDS was:</w:t>
            </w:r>
          </w:p>
          <w:p>
            <w:pPr>
              <w:spacing w:after="160"/>
            </w:pPr>
            <w:r>
              <w:rPr>
                <w:rStyle w:val="row-content-rich-text"/>
              </w:rPr>
              <w:t xml:space="preserve">Patients registered for care in emergency departments in public hospitals where the emergency department meets the following criteria:</w:t>
            </w:r>
          </w:p>
          <w:p>
            <w:pPr>
              <w:spacing w:after="160"/>
            </w:pPr>
            <w:r>
              <w:rPr>
                <w:rStyle w:val="row-content-rich-text"/>
              </w:rPr>
              <w:t xml:space="preserve">·           purposely designed and equipped area with designated assessment, treatment and resuscitation areas</w:t>
            </w:r>
          </w:p>
          <w:p>
            <w:pPr>
              <w:spacing w:after="160"/>
            </w:pPr>
            <w:r>
              <w:rPr>
                <w:rStyle w:val="row-content-rich-text"/>
              </w:rPr>
              <w:t xml:space="preserve">·           ability to provide resuscitation, stabilisation and initial management of all emergencies</w:t>
            </w:r>
          </w:p>
          <w:p>
            <w:pPr>
              <w:spacing w:after="160"/>
            </w:pPr>
            <w:r>
              <w:rPr>
                <w:rStyle w:val="row-content-rich-text"/>
              </w:rPr>
              <w:t xml:space="preserve">·           availability of medical staff in the hospital 24 hours a day</w:t>
            </w:r>
          </w:p>
          <w:p>
            <w:pPr>
              <w:spacing w:after="160"/>
            </w:pPr>
            <w:r>
              <w:rPr>
                <w:rStyle w:val="row-content-rich-text"/>
              </w:rPr>
              <w:t xml:space="preserve">·           designated emergency department nursing staff and nursing unit manager 24 hours per day 7 days per week.</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w:t>
            </w:r>
          </w:p>
          <w:p>
            <w:pPr>
              <w:spacing w:after="160"/>
            </w:pPr>
            <w:r>
              <w:rPr>
                <w:rStyle w:val="row-content-rich-text"/>
              </w:rPr>
              <w:t xml:space="preserve"> </w:t>
            </w:r>
          </w:p>
          <w:p>
            <w:pPr>
              <w:pStyle w:val="ListParagraph"/>
              <w:numPr>
                <w:ilvl w:val="0"/>
                <w:numId w:val="3"/>
              </w:numPr>
            </w:pPr>
            <w:r>
              <w:rPr>
                <w:rStyle w:val="row-content-rich-text"/>
              </w:rPr>
              <w:t xml:space="preserve">although there are national standards for data on non-admitted patient emergency department services, there are some variations in how those services are defined and counted across states and territories and over time.</w:t>
            </w:r>
          </w:p>
          <w:p>
            <w:pPr>
              <w:pStyle w:val="ListParagraph"/>
              <w:numPr>
                <w:ilvl w:val="0"/>
                <w:numId w:val="3"/>
              </w:numPr>
            </w:pPr>
            <w:r>
              <w:rPr>
                <w:rStyle w:val="row-content-rich-text"/>
              </w:rPr>
              <w:t xml:space="preserve">the quality of the data reported for Indigenous status has not been formally assessed; therefore, caution should be exercised when interpreting these data.</w:t>
            </w:r>
          </w:p>
          <w:p>
            <w:pPr>
              <w:pStyle w:val="ListParagraph"/>
              <w:numPr>
                <w:ilvl w:val="0"/>
                <w:numId w:val="3"/>
              </w:numPr>
            </w:pPr>
            <w:r>
              <w:rPr>
                <w:rStyle w:val="row-content-rich-text"/>
              </w:rPr>
              <w:t xml:space="preserve">due to changes in the classifications used to determine remoteness areas and socioeconomic state (SES) groups of area of usual residence, time series presenting these data should be interpreted with caution.</w:t>
            </w:r>
          </w:p>
          <w:p>
            <w:pPr>
              <w:spacing w:after="160"/>
            </w:pPr>
            <w:r>
              <w:rPr>
                <w:rStyle w:val="row-content-rich-text"/>
                <w:b/>
                <w:sz w:val="30"/>
              </w:rPr>
              <w:t xml:space="preserve">Description</w:t>
            </w:r>
          </w:p>
          <w:p>
            <w:pPr>
              <w:spacing w:after="160"/>
            </w:pPr>
            <w:r>
              <w:rPr>
                <w:rStyle w:val="row-content-rich-text"/>
              </w:rPr>
              <w:t xml:space="preserve">The NNAPEDCD includes episode-level data on patients presenting to selected emergency departments in Australian public hospitals. The data supplied are based on the Non-Admitted Patient Emergency Department Care National Minimum Data Set (NAPEDC NMDS) and include demographic information, administrative information, information on triage category as well as information on waiting times for treatment and length of time to the completion of the presentation.</w:t>
            </w:r>
          </w:p>
          <w:p>
            <w:pPr>
              <w:spacing w:after="160"/>
            </w:pPr>
            <w:r>
              <w:rPr>
                <w:rStyle w:val="row-content-rich-text"/>
              </w:rPr>
              <w:t xml:space="preserve">The NNAPEDCD includes data for each year from 2003–04 to 2013–14.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6a0c6211c204ce7">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54616b6bc0914901">
              <w:r>
                <w:rPr>
                  <w:rStyle w:val="Hyperlink"/>
                </w:rPr>
                <w:t xml:space="preserve">http://www.aihw.gov.au/nhissc/</w:t>
              </w:r>
            </w:hyperlink>
          </w:p>
          <w:p>
            <w:hyperlink w:history="true" r:id="Ra07b63c9e322450e">
              <w:r>
                <w:rPr>
                  <w:rStyle w:val="Hyperlink"/>
                </w:rPr>
                <w:t xml:space="preserve">/content/index.phtml/itemId/182135</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NNAPEDCD are reported annually. The most recent reference period for this data set is 1 July 2013 to 30 June 2014.</w:t>
            </w:r>
          </w:p>
          <w:p>
            <w:pPr/>
            <w:r>
              <w:rPr>
                <w:rStyle w:val="row-content-rich-text"/>
              </w:rPr>
              <w:t xml:space="preserve">States and territories provided a first version of the 2013–14 data to the AIHW during July 2014. This report was published in October 2014.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available on the AIHW website are:</w:t>
            </w:r>
          </w:p>
          <w:p>
            <w:pPr>
              <w:pStyle w:val="ListParagraph"/>
              <w:numPr>
                <w:ilvl w:val="0"/>
                <w:numId w:val="4"/>
              </w:numPr>
            </w:pPr>
            <w:r>
              <w:rPr>
                <w:rStyle w:val="row-content-rich-text"/>
              </w:rPr>
              <w:t xml:space="preserve">Australian hospital statistics series of products with associated Excel tables. </w:t>
            </w:r>
          </w:p>
          <w:p>
            <w:pPr>
              <w:spacing w:after="160"/>
            </w:pPr>
            <w:r>
              <w:rPr>
                <w:rStyle w:val="row-content-rich-text"/>
              </w:rPr>
              <w:t xml:space="preserve">These products may be accessed on the AIHW website at:</w:t>
            </w:r>
          </w:p>
          <w:p>
            <w:hyperlink w:history="true" r:id="R67cad904a7434f7f">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NMDS and the NAPEDC data set specification are published in the AIHW’s Metadata Online Registry (METeOR), and the National health data dictionary.</w:t>
            </w:r>
          </w:p>
          <w:p>
            <w:pPr>
              <w:spacing w:after="160"/>
            </w:pPr>
            <w:r>
              <w:rPr>
                <w:rStyle w:val="row-content-rich-text"/>
              </w:rPr>
              <w:t xml:space="preserve">METeOR and the National health data dictionary can be accessed on the AIHW website at:</w:t>
            </w:r>
          </w:p>
          <w:p>
            <w:hyperlink w:history="true" r:id="R598a34942f144a4a">
              <w:r>
                <w:rPr>
                  <w:rStyle w:val="Hyperlink"/>
                </w:rPr>
                <w:t xml:space="preserve">/content/index.phtml/itemId/181162</w:t>
              </w:r>
            </w:hyperlink>
          </w:p>
          <w:p>
            <w:hyperlink w:history="true" r:id="R72877b22177f4196">
              <w:r>
                <w:rPr>
                  <w:rStyle w:val="Hyperlink"/>
                </w:rPr>
                <w:t xml:space="preserve">http://www.aihw.gov.au/publication-detail/?id=10737422826</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i/>
              </w:rPr>
              <w:t xml:space="preserve">Scope of the NAPEDC NMDS </w:t>
            </w:r>
          </w:p>
          <w:p>
            <w:pPr>
              <w:spacing w:after="160"/>
            </w:pPr>
            <w:r>
              <w:rPr>
                <w:rStyle w:val="row-content-rich-text"/>
              </w:rPr>
              <w:t xml:space="preserve">The scope of the NAPEDC NMDS changed between 2012-13 and 2013-14.</w:t>
            </w:r>
          </w:p>
          <w:p>
            <w:pPr>
              <w:spacing w:after="160"/>
            </w:pPr>
            <w:r>
              <w:rPr>
                <w:rStyle w:val="row-content-rich-text"/>
              </w:rPr>
              <w:t xml:space="preserve">Between 2003-04 and 2012-13, the scope of the NAPEDC NMDS was:</w:t>
            </w:r>
          </w:p>
          <w:p>
            <w:pPr>
              <w:pStyle w:val="ListParagraph"/>
              <w:numPr>
                <w:ilvl w:val="0"/>
                <w:numId w:val="5"/>
              </w:numPr>
            </w:pPr>
            <w:r>
              <w:rPr>
                <w:rStyle w:val="row-content-rich-text"/>
              </w:rPr>
              <w:t xml:space="preserve">non-admitted patients registered for care in emergency departments in selected public hospitals that are classified as either Peer Group A or B in the Australian Institute of Health and Welfare’s Australian hospital statistics publication from the preceding financial year.</w:t>
            </w:r>
          </w:p>
          <w:p>
            <w:pPr>
              <w:spacing w:after="160"/>
            </w:pPr>
            <w:r>
              <w:rPr>
                <w:rStyle w:val="row-content-rich-text"/>
              </w:rPr>
              <w:t xml:space="preserve">In 2013-14, the scope of the NAPEDC NMDS was:</w:t>
            </w:r>
          </w:p>
          <w:p>
            <w:pPr>
              <w:spacing w:after="160"/>
            </w:pPr>
            <w:r>
              <w:rPr>
                <w:rStyle w:val="row-content-rich-text"/>
              </w:rPr>
              <w:t xml:space="preserve">Patients registered for care in emergency departments in public hospitals where the emergency department meets the following criteria:</w:t>
            </w:r>
          </w:p>
          <w:p>
            <w:pPr>
              <w:pStyle w:val="ListParagraph"/>
              <w:numPr>
                <w:ilvl w:val="0"/>
                <w:numId w:val="6"/>
              </w:numPr>
            </w:pPr>
            <w:r>
              <w:rPr>
                <w:rStyle w:val="row-content-rich-text"/>
              </w:rPr>
              <w:t xml:space="preserve">purposely designed and equipped area with designated assessment, treatment and resuscitation areas</w:t>
            </w:r>
          </w:p>
          <w:p>
            <w:pPr>
              <w:pStyle w:val="ListParagraph"/>
              <w:numPr>
                <w:ilvl w:val="0"/>
                <w:numId w:val="6"/>
              </w:numPr>
            </w:pPr>
            <w:r>
              <w:rPr>
                <w:rStyle w:val="row-content-rich-text"/>
              </w:rPr>
              <w:t xml:space="preserve">ability to provide resuscitation, stabilisation and initial management of all emergencies</w:t>
            </w:r>
          </w:p>
          <w:p>
            <w:pPr>
              <w:pStyle w:val="ListParagraph"/>
              <w:numPr>
                <w:ilvl w:val="0"/>
                <w:numId w:val="6"/>
              </w:numPr>
            </w:pPr>
            <w:r>
              <w:rPr>
                <w:rStyle w:val="row-content-rich-text"/>
              </w:rPr>
              <w:t xml:space="preserve">availability of medical staff in the hospital 24 hours a day</w:t>
            </w:r>
          </w:p>
          <w:p>
            <w:pPr>
              <w:pStyle w:val="ListParagraph"/>
              <w:numPr>
                <w:ilvl w:val="0"/>
                <w:numId w:val="6"/>
              </w:numPr>
            </w:pPr>
            <w:r>
              <w:rPr>
                <w:rStyle w:val="row-content-rich-text"/>
              </w:rPr>
              <w:t xml:space="preserve">designated emergency department nursing staff and nursing unit manager 24 hours per day 7 days per week.</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i/>
              </w:rPr>
              <w:t xml:space="preserve">Coverage of the NNAPEDCD</w:t>
            </w:r>
          </w:p>
          <w:p>
            <w:pPr>
              <w:spacing w:after="160"/>
            </w:pPr>
            <w:r>
              <w:rPr>
                <w:rStyle w:val="row-content-rich-text"/>
              </w:rPr>
              <w:t xml:space="preserve">Data coverage is estimated by comparing the number of emergency department presentations in the NNAPEDCD to the number of non-admitted patient emergency occasions of service reported to the NPHED, which includes data for all public hospitals, regardless of whether they have an emergency department. The coverage estimate is only indicative, as not all emergency occasions of service are provided through formal emergency departments. Between 2003–04 and 2013–14, the estimated proportion of emergency occasions of service reported to the NNAPEDCD increased from 73% to 88%. The coverage estimate for 2013–14 is preliminary and will be finalised when the total numbers of emergency occasions of service are available early in 2015 in the NPHED for 2013-14. Some Western Australian hospitals only provided presentations for which the type of visit was Emergency presentation, and hence may have under-reported other emergency department activity.</w:t>
            </w:r>
          </w:p>
          <w:p>
            <w:pPr>
              <w:spacing w:after="160"/>
            </w:pPr>
            <w:r>
              <w:rPr>
                <w:rStyle w:val="row-content-rich-text"/>
                <w:i/>
              </w:rPr>
              <w:t xml:space="preserve">Overlap between the NNAPEDCD and the National Hospital Morbidity Database (NHMD)</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NNAPEDCD and the admitted patient care data held in the NHMD.</w:t>
            </w:r>
          </w:p>
          <w:p>
            <w:pPr>
              <w:spacing w:after="160"/>
            </w:pPr>
            <w:r>
              <w:rPr>
                <w:rStyle w:val="row-content-rich-text"/>
                <w:b/>
              </w:rPr>
              <w:t xml:space="preserve">Limitations of the NNAPEDCD</w:t>
            </w:r>
          </w:p>
          <w:p>
            <w:pPr>
              <w:spacing w:after="160"/>
            </w:pPr>
            <w:r>
              <w:rPr>
                <w:rStyle w:val="row-content-rich-text"/>
              </w:rPr>
              <w:t xml:space="preserve">Although the NNAPEDCD is a valuable source of information on emergency department care, the data have limitations. For example, sick or injured people who do not present to emergency departments are not included. Persons who present to an emergency department more than once in a reference year are counted on each occasion. Non-admitted patients who are treated in outpatient clinics are not included in the NNAPEDCD.</w:t>
            </w:r>
          </w:p>
          <w:p>
            <w:pPr>
              <w:spacing w:after="160"/>
            </w:pPr>
            <w:r>
              <w:rPr>
                <w:rStyle w:val="row-content-rich-text"/>
              </w:rPr>
              <w:t xml:space="preserve">Because the scope of the NAPEDC NMDS is limited to emergency departments that meet the nationally agreed criteria above, most of the data provided to the 2013–14 NNAPEDCD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b/>
              </w:rPr>
              <w:t xml:space="preserve">Performance indicator reporting using the NNAPEDCD</w:t>
            </w:r>
          </w:p>
          <w:p>
            <w:pPr/>
            <w:r>
              <w:rPr>
                <w:rStyle w:val="row-content-rich-text"/>
              </w:rPr>
              <w:t xml:space="preserve">The NNAPEDCD is the source of information for four performance indicators for the NHA and other national performance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Quality of Indigenous identification</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rPr>
              <w:t xml:space="preserve">Incomplete responses</w:t>
            </w:r>
          </w:p>
          <w:p>
            <w:pPr>
              <w:spacing w:after="160"/>
            </w:pPr>
            <w:r>
              <w:rPr>
                <w:rStyle w:val="row-content-rich-text"/>
              </w:rPr>
              <w:t xml:space="preserve">For 2013–14, approximately 114,000 records did not have a valid waiting time recorded. For about 356,000 records, the length of treatment time could not be calculated as the date and time of episode end were missing.</w:t>
            </w:r>
          </w:p>
          <w:p>
            <w:pPr>
              <w:spacing w:after="160"/>
            </w:pPr>
            <w:r>
              <w:rPr>
                <w:rStyle w:val="row-content-rich-text"/>
                <w:b/>
              </w:rPr>
              <w:t xml:space="preserve">Geography </w:t>
            </w:r>
          </w:p>
          <w:p>
            <w:pPr>
              <w:spacing w:after="160"/>
            </w:pPr>
            <w:r>
              <w:rPr>
                <w:rStyle w:val="row-content-rich-text"/>
                <w:i/>
              </w:rPr>
              <w:t xml:space="preserve">Area of usual residence</w:t>
            </w:r>
          </w:p>
          <w:p>
            <w:pPr>
              <w:spacing w:after="160"/>
            </w:pPr>
            <w:r>
              <w:rPr>
                <w:rStyle w:val="row-content-rich-text"/>
              </w:rPr>
              <w:t xml:space="preserve">The NAPEDC NMDS for the 2013–14 period specified that states and territories should provide the Statistical Area Level 2 (SA2) of usual residence of patient. The SA2 is a geographical unit under the Australian Statistical Geography Standard (ASGS). The ASGS was introduced in 2011 by the Australian Bureau of Statistics (ABS).</w:t>
            </w:r>
          </w:p>
          <w:p>
            <w:pPr>
              <w:spacing w:after="160"/>
            </w:pPr>
            <w:r>
              <w:rPr>
                <w:rStyle w:val="row-content-rich-text"/>
              </w:rPr>
              <w:t xml:space="preserve">Not all states provided information on the area of usual residence of the patient in the form of a Statistical Area Level 2 (SA2) code for all presentations. Where necessary, the AIHW mapped the supplied area of residence data for each separation to an SA2 and then to a remoteness area category based on Australian Bureau of Statistics (ABS) Australian Statistical Geography Standard (ASGS) correspondences and Remoteness Structures for 2011. These mappings were done on a probabilistic basis. Because of the probabilistic nature of the mappings, the SA2 and remoteness areas data for individual records may not be accurate; however, the overall distribution of records by geographical area is considered useful.</w:t>
            </w:r>
          </w:p>
          <w:p>
            <w:pPr>
              <w:spacing w:after="160"/>
            </w:pPr>
            <w:r>
              <w:rPr>
                <w:rStyle w:val="row-content-rich-text"/>
                <w:i/>
              </w:rPr>
              <w:t xml:space="preserve">Socioeconomic status (SES) of area of residence</w:t>
            </w:r>
          </w:p>
          <w:p>
            <w:pPr/>
            <w:r>
              <w:rPr>
                <w:rStyle w:val="row-content-rich-text"/>
              </w:rPr>
              <w:t xml:space="preserve">SES is based on the SA2 area of usual residence of the patient, mapped to Socio-Economic Indexes for Areas (SEIFA) 2011. For the purpose of this report, the SEIFA categories (quintiles) were assigned on the basis of ranking within the nation, not within the individual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scope between 2012–13 and 2013–14 NAPEDC NMDS affect the comparability of 2013–14 data with data for other reporting periods (see ‘Scope and coverage’).</w:t>
            </w:r>
          </w:p>
          <w:p>
            <w:pPr>
              <w:spacing w:after="160"/>
            </w:pPr>
            <w:r>
              <w:rPr>
                <w:rStyle w:val="row-content-rich-text"/>
              </w:rPr>
              <w:t xml:space="preserve">Changes in coverage may affect the comparability of 2013–14 data with data for other reporting periods (see ‘Scope and coverage’).</w:t>
            </w:r>
          </w:p>
          <w:p>
            <w:pPr>
              <w:spacing w:after="160"/>
            </w:pPr>
            <w:r>
              <w:rPr>
                <w:rStyle w:val="row-content-rich-text"/>
              </w:rPr>
              <w:t xml:space="preserve">For 2012–13 and 2013–14, remoteness area of usual residence was based on the ASGS. Before 2012–13, remoteness area of usual residence was based on the ABS’s ASGC Remoteness Structures for 2006. Therefore comparisons of remoteness area of usual residence over time should therefore be interpreted with caution.</w:t>
            </w:r>
          </w:p>
          <w:p>
            <w:pPr>
              <w:spacing w:after="160"/>
            </w:pPr>
            <w:r>
              <w:rPr>
                <w:rStyle w:val="row-content-rich-text"/>
              </w:rPr>
              <w:t xml:space="preserve">For 2012–13 and 2013–14, SES of area of usual residence was based on the SEIFA 2011. For the reference years prior to 2012–13, SES of the area of usual residence was based on the SEIFA 2006. Therefore, comparisons of SES of area of usual residence over time should be interpreted with caution.</w:t>
            </w:r>
          </w:p>
          <w:p>
            <w:pPr>
              <w:spacing w:after="160"/>
            </w:pPr>
            <w:r>
              <w:rPr>
                <w:rStyle w:val="row-content-rich-text"/>
              </w:rPr>
              <w:t xml:space="preserve">Before 2012–13, New South Wales did not report against the episode end status Died in emergency department as a non-admitted patient. Therefore, caution should be used when making comparisons over time.</w:t>
            </w:r>
          </w:p>
          <w:p>
            <w:pPr/>
            <w:r>
              <w:rPr>
                <w:rStyle w:val="row-content-rich-text"/>
              </w:rPr>
              <w:t xml:space="preserve">The waiting times data for the Australian Capital Territory for the period 2008–09 to 2010–11 presented in this report, Australian hospital statistics 2012–13: emergency department care (AIHW 2013a) and in Australian hospital statistics 2011–12: emergency department care (AIHW 2012b) differ from the information presented in Australian hospital statistics reports published before October 2012. In 2012, the Australian Capital Territory corrected information used to calculate the waiting time to commencement of clinical care and length of stay in the emergency department for 12,000 records for the period 2008–09 to 2011–12, that had been identified as changed contrary to established audit and validation policies. The ACT Health Directorate undertook a manual process to over-write the times recorded in the Australian Capital Territory system with the original times retained in the hospital’s emergency department information system. A validation process was undertaken to determine that all records had been amended to reflect the originally recorded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eb797e9c08464f">
              <w:r>
                <w:rPr>
                  <w:rStyle w:val="Hyperlink"/>
                </w:rPr>
                <w:t xml:space="preserve">National Non-admitted Patient Emergency Department Care Database, 2012-13; Data Quality Statement</w:t>
              </w:r>
            </w:hyperlink>
          </w:p>
          <w:p>
            <w:pPr>
              <w:spacing w:before="0" w:after="0"/>
            </w:pPr>
            <w:r>
              <w:rPr>
                <w:rStyle w:val="row-content"/>
                <w:color w:val="244061"/>
              </w:rPr>
              <w:t xml:space="preserve">       </w:t>
            </w:r>
            <w:hyperlink w:history="true" r:id="R5b7e2564e3b44c01">
              <w:r>
                <w:rPr>
                  <w:rStyle w:val="Hyperlink"/>
                  <w:color w:val="244061"/>
                </w:rPr>
                <w:t xml:space="preserve">AIHW Data Quality Statements</w:t>
              </w:r>
            </w:hyperlink>
            <w:r>
              <w:rPr>
                <w:rStyle w:val="row-content"/>
                <w:color w:val="244061"/>
              </w:rPr>
              <w:t xml:space="preserve">, Superseded 22/10/2014</w:t>
            </w:r>
          </w:p>
          <w:p>
            <w:r>
              <w:br/>
            </w:r>
            <w:r>
              <w:rPr>
                <w:rStyle w:val="row-content"/>
              </w:rPr>
              <w:t xml:space="preserve">Has been superseded by </w:t>
            </w:r>
            <w:hyperlink w:history="true" r:id="R21bcbf36494646c7">
              <w:r>
                <w:rPr>
                  <w:rStyle w:val="Hyperlink"/>
                </w:rPr>
                <w:t xml:space="preserve">Data quality statement: National Non-admitted Patient Emergency Department Care Database 2014–15 </w:t>
              </w:r>
            </w:hyperlink>
          </w:p>
          <w:p>
            <w:pPr>
              <w:spacing w:before="0" w:after="0"/>
            </w:pPr>
            <w:r>
              <w:rPr>
                <w:rStyle w:val="row-content"/>
                <w:color w:val="244061"/>
              </w:rPr>
              <w:t xml:space="preserve">       </w:t>
            </w:r>
            <w:hyperlink w:history="true" r:id="R846f6fe47e5044ee">
              <w:r>
                <w:rPr>
                  <w:rStyle w:val="Hyperlink"/>
                  <w:color w:val="244061"/>
                </w:rPr>
                <w:t xml:space="preserve">AIHW Data Quality Statements</w:t>
              </w:r>
            </w:hyperlink>
            <w:r>
              <w:rPr>
                <w:rStyle w:val="row-content"/>
                <w:color w:val="244061"/>
              </w:rPr>
              <w:t xml:space="preserve">, Superseded 30/11/2016</w:t>
            </w:r>
          </w:p>
          <w:p>
            <w:r>
              <w:br/>
            </w:r>
          </w:p>
        </w:tc>
      </w:tr>
    </w:tbl>
    <w:p>
      <w:r>
        <w:br/>
      </w:r>
    </w:p>
    <w:sectPr>
      <w:footerReference xmlns:r="http://schemas.openxmlformats.org/officeDocument/2006/relationships" w:type="default" r:id="R356223c0adff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592264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c0145d85d4f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223c0adff4bd7" /><Relationship Type="http://schemas.openxmlformats.org/officeDocument/2006/relationships/header" Target="/word/header1.xml" Id="Ra50033a0406440dc" /><Relationship Type="http://schemas.openxmlformats.org/officeDocument/2006/relationships/settings" Target="/word/settings.xml" Id="R1595a116bf434388" /><Relationship Type="http://schemas.openxmlformats.org/officeDocument/2006/relationships/styles" Target="/word/styles.xml" Id="R825bbea80ada4d8f" /><Relationship Type="http://schemas.openxmlformats.org/officeDocument/2006/relationships/hyperlink" Target="https://meteor.aihw.gov.au/RegistrationAuthority/5" TargetMode="External" Id="Rc47277b6e9ff488d" /><Relationship Type="http://schemas.openxmlformats.org/officeDocument/2006/relationships/numbering" Target="/word/numbering.xml" Id="R70bb24d4e9154957" /><Relationship Type="http://schemas.openxmlformats.org/officeDocument/2006/relationships/hyperlink" Target="http://www.aihw.gov.au" TargetMode="External" Id="Rc6a0c6211c204ce7" /><Relationship Type="http://schemas.openxmlformats.org/officeDocument/2006/relationships/hyperlink" Target="http://www.aihw.gov.au/nhissc/" TargetMode="External" Id="R54616b6bc0914901" /><Relationship Type="http://schemas.openxmlformats.org/officeDocument/2006/relationships/hyperlink" Target="https://meteor.aihw.gov.au/content/182135" TargetMode="External" Id="Ra07b63c9e322450e" /><Relationship Type="http://schemas.openxmlformats.org/officeDocument/2006/relationships/hyperlink" Target="http://www.aihw.gov.au/hospitals/" TargetMode="External" Id="R67cad904a7434f7f" /><Relationship Type="http://schemas.openxmlformats.org/officeDocument/2006/relationships/hyperlink" Target="https://meteor.aihw.gov.au/content/181162" TargetMode="External" Id="R598a34942f144a4a" /><Relationship Type="http://schemas.openxmlformats.org/officeDocument/2006/relationships/hyperlink" Target="http://www.aihw.gov.au/publication-detail/?id=10737422826" TargetMode="External" Id="R72877b22177f4196" /><Relationship Type="http://schemas.openxmlformats.org/officeDocument/2006/relationships/hyperlink" Target="https://meteor.aihw.gov.au/content/546749" TargetMode="External" Id="Ra4eb797e9c08464f" /><Relationship Type="http://schemas.openxmlformats.org/officeDocument/2006/relationships/hyperlink" Target="https://meteor.aihw.gov.au/RegistrationAuthority/5" TargetMode="External" Id="R5b7e2564e3b44c01" /><Relationship Type="http://schemas.openxmlformats.org/officeDocument/2006/relationships/hyperlink" Target="https://meteor.aihw.gov.au/content/621200" TargetMode="External" Id="R21bcbf36494646c7" /><Relationship Type="http://schemas.openxmlformats.org/officeDocument/2006/relationships/hyperlink" Target="https://meteor.aihw.gov.au/RegistrationAuthority/5" TargetMode="External" Id="R846f6fe47e5044ee" /></Relationships>
</file>

<file path=word/_rels/header1.xml.rels>&#65279;<?xml version="1.0" encoding="utf-8"?><Relationships xmlns="http://schemas.openxmlformats.org/package/2006/relationships"><Relationship Type="http://schemas.openxmlformats.org/officeDocument/2006/relationships/image" Target="/media/image.png" Id="R2f0c0145d85d4fef" /></Relationships>
</file>