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d39e28e5df4f9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2012-13;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2012-13;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27a8b3cc043e7">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The data collected are an administrative by-product of the management of State Owned and Managed Indigenous Housing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Heading2"/>
            </w:pPr>
            <w:r>
              <w:rPr>
                <w:rStyle w:val="row-content-rich-text"/>
              </w:rPr>
              <w:t xml:space="preserve">Description</w:t>
            </w:r>
          </w:p>
          <w:p>
            <w:pPr/>
            <w:r>
              <w:rPr>
                <w:rStyle w:val="row-content-rich-text"/>
              </w:rPr>
              <w:t xml:space="preserve">Jurisdictions provide a range of State Owned and Managed Indigenous Housing (SOMIH) programs and maintain administrative data sets about these programs. These data sets are provided annually to the AIHW. The data in this collection contain information about SOMIH dwellings, households assisted and households on the waiting list, during 2012–13 and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7651f55c7ff4d1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d0d6b14e0591454b">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8c4fa15975d4bf9">
              <w:r>
                <w:rPr>
                  <w:rStyle w:val="Hyperlink"/>
                  <w:i/>
                </w:rPr>
                <w:t xml:space="preserve">Australian Institute of Health and Welfare Act 1987</w:t>
              </w:r>
            </w:hyperlink>
            <w:r>
              <w:rPr>
                <w:rStyle w:val="row-content-rich-text"/>
              </w:rPr>
              <w:t xml:space="preserve">, in conjunction with compliance to the </w:t>
            </w:r>
            <w:hyperlink w:history="true" r:id="R8d45b69a3ec9471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d7cb188b528455e">
              <w:r>
                <w:rPr>
                  <w:rStyle w:val="Hyperlink"/>
                </w:rPr>
                <w:t xml:space="preserve">www.aihw.gov.au</w:t>
              </w:r>
            </w:hyperlink>
          </w:p>
          <w:p>
            <w:pPr/>
            <w:r>
              <w:rPr>
                <w:rStyle w:val="row-content-rich-text"/>
              </w:rPr>
              <w:t xml:space="preserve">The AIHW receives, compiles, edits and verifies the State Owned and Managed Indigenous Housing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State Owned and Managed Indigenous Housing (SOMIH) collection is based on the financial year (ending 30 June). The specific reference period for these data is 2012–13.</w:t>
            </w:r>
          </w:p>
          <w:p>
            <w:pPr>
              <w:spacing w:after="160"/>
            </w:pPr>
            <w:r>
              <w:rPr>
                <w:rStyle w:val="row-content-rich-text"/>
              </w:rPr>
              <w:t xml:space="preserve">Data are collected and published annually. The data for the 2011–12 reference period were due to be signed off by the jurisdictions and provided to AIHW by 13 September 2013. Only three jurisdictions met the deadline. Two jurisdictions requested an extension and met the deadline for the extension granted.  The remaining jurisdictions failed to meet the deadline with one providing sign-off on 25 September 2013.</w:t>
            </w:r>
          </w:p>
          <w:p>
            <w:pPr>
              <w:spacing w:after="160"/>
            </w:pPr>
            <w:r>
              <w:rPr>
                <w:rStyle w:val="row-content-rich-text"/>
              </w:rPr>
              <w:t xml:space="preserve">Summary Items and performance indicators were due and reported to the Productivity Commission by the AIHW on 27 September.</w:t>
            </w:r>
          </w:p>
          <w:p>
            <w:pPr/>
            <w:r>
              <w:rPr>
                <w:rStyle w:val="row-content-rich-text"/>
              </w:rPr>
              <w:t xml:space="preserve">Summary items and performance indicators from the 2012–13 PH collection were first published in the </w:t>
            </w:r>
            <w:hyperlink w:history="true" r:id="R5155256156be4c97">
              <w:r>
                <w:rPr>
                  <w:rStyle w:val="Hyperlink"/>
                  <w:i/>
                </w:rPr>
                <w:t xml:space="preserve">Report on Government Services 2014</w:t>
              </w:r>
            </w:hyperlink>
            <w:r>
              <w:rPr>
                <w:rStyle w:val="row-content-rich-text"/>
              </w:rPr>
              <w:t xml:space="preserve"> in January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Housing Assistance in Australia and the </w:t>
            </w:r>
            <w:hyperlink w:history="true" r:id="R46ab2c3b5a7c498f">
              <w:r>
                <w:rPr>
                  <w:rStyle w:val="Hyperlink"/>
                  <w:i/>
                </w:rPr>
                <w:t xml:space="preserve">Report on Government Services 2014</w:t>
              </w:r>
            </w:hyperlink>
            <w:r>
              <w:rPr>
                <w:rStyle w:val="row-content-rich-text"/>
              </w:rPr>
              <w:t xml:space="preserve">.</w:t>
            </w:r>
          </w:p>
          <w:p>
            <w:pPr/>
            <w:r>
              <w:rPr>
                <w:rStyle w:val="row-content-rich-text"/>
              </w:rPr>
              <w:t xml:space="preserve">Disaggregated data and unit record data may be requested from the national housing data repository via the AIHW website and may be provided subject to the relevant approvals. For further information, contact </w:t>
            </w:r>
            <w:hyperlink w:history="true" r:id="R3e598ee027af440a">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w:t>
            </w:r>
            <w:hyperlink w:history="true" r:id="R1edbd38875794095">
              <w:r>
                <w:rPr>
                  <w:rStyle w:val="Hyperlink"/>
                </w:rPr>
                <w:t xml:space="preserve">SOMIH Data Set Specification</w:t>
              </w:r>
            </w:hyperlink>
            <w:r>
              <w:rPr>
                <w:rStyle w:val="row-content-rich-text"/>
              </w:rPr>
              <w:t xml:space="preserve"> on METeOR. Supplementary information can be found in the public rental housing collection manual which is available upon request from the AIHW at </w:t>
            </w:r>
            <w:hyperlink w:history="true" r:id="R5b441152e19e4d71">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w:t>
            </w:r>
          </w:p>
          <w:p>
            <w:pPr>
              <w:spacing w:after="160"/>
            </w:pPr>
            <w:r>
              <w:rPr>
                <w:rStyle w:val="row-content-rich-text"/>
              </w:rPr>
              <w:t xml:space="preserve">Not all jurisdictions have a separately identified or funded SOMIH program.  In these cases all jurisdiction managed social housing dwellings are reported in the public rental housing data collection.</w:t>
            </w:r>
          </w:p>
          <w:p>
            <w:pPr>
              <w:spacing w:after="160"/>
            </w:pPr>
            <w:r>
              <w:rPr>
                <w:rStyle w:val="row-content-rich-text"/>
              </w:rPr>
              <w:t xml:space="preserve">Classifications used for income and greatest need are not consistent across jurisdictions and are mapped to a common standard.</w:t>
            </w:r>
          </w:p>
          <w:p>
            <w:pPr/>
            <w:r>
              <w:rPr>
                <w:rStyle w:val="row-content-rich-text"/>
              </w:rPr>
              <w:t xml:space="preserve">Not all jurisdictions collect or update all data items for every tenant so substitutions are made in some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For some jurisdictions, disability data may be self-identified and not mandatory under program eligibility requirements.</w:t>
            </w:r>
          </w:p>
          <w:p>
            <w:pPr>
              <w:pStyle w:val="ListParagraph"/>
              <w:numPr>
                <w:ilvl w:val="0"/>
                <w:numId w:val="3"/>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Disaggregation can lead to small cell sizes which are volatile - very small cells have been suppressed to protect confidentiality.</w:t>
            </w:r>
          </w:p>
          <w:p>
            <w:pPr>
              <w:spacing w:after="160"/>
            </w:pPr>
            <w:r>
              <w:rPr>
                <w:rStyle w:val="row-content-rich-text"/>
              </w:rPr>
              <w:t xml:space="preserve">Specific State/Territory issues:</w:t>
            </w:r>
          </w:p>
          <w:p>
            <w:pPr>
              <w:spacing w:after="160"/>
            </w:pPr>
            <w:r>
              <w:rPr>
                <w:rStyle w:val="row-content-rich-text"/>
                <w:b/>
              </w:rPr>
              <w:t xml:space="preserve">Tasmania</w:t>
            </w:r>
          </w:p>
          <w:p>
            <w:pPr>
              <w:pStyle w:val="ListParagraph"/>
              <w:numPr>
                <w:ilvl w:val="0"/>
                <w:numId w:val="4"/>
              </w:numPr>
            </w:pPr>
            <w:r>
              <w:rPr>
                <w:rStyle w:val="row-content-rich-text"/>
              </w:rPr>
              <w:t xml:space="preserve">There were two main issues that impacted on application and tenancy data in 2012-13 that did not follow usual processes. This resulted in some missing data. This involved the allocation of public housing to victims of the Tasmanian bushfires and the return of tenancies following the conclusion of a supported program.</w:t>
            </w:r>
          </w:p>
          <w:p>
            <w:pPr>
              <w:spacing w:after="160"/>
            </w:pPr>
            <w:r>
              <w:rPr>
                <w:rStyle w:val="row-content-rich-text"/>
                <w:b/>
              </w:rPr>
              <w:t xml:space="preserve">NSW</w:t>
            </w:r>
          </w:p>
          <w:p>
            <w:pPr>
              <w:pStyle w:val="ListParagraph"/>
              <w:numPr>
                <w:ilvl w:val="0"/>
                <w:numId w:val="5"/>
              </w:numPr>
            </w:pPr>
            <w:r>
              <w:rPr>
                <w:rStyle w:val="row-content-rich-text"/>
              </w:rPr>
              <w:t xml:space="preserve">Since a system change in 2010, there have been problems encountered when linking files. Where date variables contradict between files, they are recoded to system missing.</w:t>
            </w:r>
          </w:p>
          <w:p>
            <w:pPr>
              <w:spacing w:after="160"/>
            </w:pPr>
            <w:r>
              <w:rPr>
                <w:rStyle w:val="row-content-rich-text"/>
                <w:b/>
              </w:rPr>
              <w:t xml:space="preserve">Queensland</w:t>
            </w:r>
          </w:p>
          <w:p>
            <w:pPr>
              <w:pStyle w:val="ListParagraph"/>
              <w:numPr>
                <w:ilvl w:val="0"/>
                <w:numId w:val="6"/>
              </w:numPr>
            </w:pPr>
            <w:r>
              <w:rPr>
                <w:rStyle w:val="row-content-rich-text"/>
              </w:rPr>
              <w:t xml:space="preserve">There is a single waitlist for all Queensland social housing. As a result applicants counted under the SOMIH program may also be listed for PH or CH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This particularly relates to scope and coverage of dwellings across states and territories.</w:t>
            </w:r>
          </w:p>
          <w:p>
            <w:pPr>
              <w:spacing w:after="160"/>
            </w:pPr>
            <w:r>
              <w:rPr>
                <w:rStyle w:val="row-content-rich-text"/>
              </w:rPr>
              <w:t xml:space="preserve">Coherence over time has been affected by changes in methodology:</w:t>
            </w:r>
          </w:p>
          <w:p>
            <w:pPr>
              <w:pStyle w:val="ListParagraph"/>
              <w:numPr>
                <w:ilvl w:val="0"/>
                <w:numId w:val="7"/>
              </w:numPr>
            </w:pPr>
            <w:r>
              <w:rPr>
                <w:rStyle w:val="row-content-rich-text"/>
              </w:rPr>
              <w:t xml:space="preserve">Measurements using low income cannot be compared with low income figures produced prior to 2009-10 due to a change in methodology.</w:t>
            </w:r>
          </w:p>
          <w:p>
            <w:pPr>
              <w:pStyle w:val="ListParagraph"/>
              <w:numPr>
                <w:ilvl w:val="0"/>
                <w:numId w:val="7"/>
              </w:numPr>
            </w:pPr>
            <w:r>
              <w:rPr>
                <w:rStyle w:val="row-content-rich-text"/>
              </w:rPr>
              <w:t xml:space="preserve">Measurements of overcrowding cannot be compared with figures produced prior to 2009-10 due to a change in methodology.</w:t>
            </w:r>
          </w:p>
          <w:p>
            <w:pPr>
              <w:pStyle w:val="ListParagraph"/>
              <w:numPr>
                <w:ilvl w:val="0"/>
                <w:numId w:val="7"/>
              </w:numPr>
            </w:pPr>
            <w:r>
              <w:rPr>
                <w:rStyle w:val="row-content-rich-text"/>
              </w:rPr>
              <w:t xml:space="preserve">Measurement of underutilisation cannot be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which is used in dwelling utilisation calculations.</w:t>
            </w:r>
          </w:p>
          <w:p>
            <w:pPr>
              <w:spacing w:after="160"/>
            </w:pPr>
            <w:r>
              <w:rPr>
                <w:rStyle w:val="row-content-rich-text"/>
              </w:rPr>
              <w:t xml:space="preserve">Specific State/Territory issues are:</w:t>
            </w:r>
          </w:p>
          <w:p>
            <w:pPr>
              <w:spacing w:after="160"/>
            </w:pPr>
            <w:r>
              <w:rPr>
                <w:rStyle w:val="row-content-rich-text"/>
                <w:b/>
              </w:rPr>
              <w:t xml:space="preserve">Tasmania</w:t>
            </w:r>
          </w:p>
          <w:p>
            <w:pPr>
              <w:pStyle w:val="ListParagraph"/>
              <w:numPr>
                <w:ilvl w:val="0"/>
                <w:numId w:val="8"/>
              </w:numPr>
            </w:pPr>
            <w:r>
              <w:rPr>
                <w:rStyle w:val="row-content-rich-text"/>
              </w:rPr>
              <w:t xml:space="preserve">In March 2013, 19 SOMIH dwellings were transitioned to be managed by the community sector.</w:t>
            </w:r>
          </w:p>
          <w:p>
            <w:pPr>
              <w:spacing w:after="160"/>
            </w:pPr>
            <w:r>
              <w:rPr>
                <w:rStyle w:val="row-content-rich-text"/>
                <w:b/>
              </w:rPr>
              <w:t xml:space="preserve">Queensland</w:t>
            </w:r>
          </w:p>
          <w:p>
            <w:pPr>
              <w:pStyle w:val="ListParagraph"/>
              <w:numPr>
                <w:ilvl w:val="0"/>
                <w:numId w:val="9"/>
              </w:numPr>
            </w:pPr>
            <w:r>
              <w:rPr>
                <w:rStyle w:val="row-content-rich-text"/>
              </w:rPr>
              <w:t xml:space="preserve">Individual Indigenous status is not collected. SOMIH households are assumed to be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5ff244c9fe443f">
              <w:r>
                <w:rPr>
                  <w:rStyle w:val="Hyperlink"/>
                </w:rPr>
                <w:t xml:space="preserve">State Owned and Managed Indigenous Housing data collection, 2011-12; Quality Statement</w:t>
              </w:r>
            </w:hyperlink>
          </w:p>
          <w:p>
            <w:pPr>
              <w:pStyle w:val="registration-status"/>
              <w:spacing w:before="0" w:after="0"/>
            </w:pPr>
            <w:hyperlink w:history="true" r:id="R072d3efbcaf846bf">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7309780194c448e3">
              <w:r>
                <w:rPr>
                  <w:rStyle w:val="Hyperlink"/>
                </w:rPr>
                <w:t xml:space="preserve">State Owned and Managed Indigenous Housing data collection, 2013-14; Quality Statement</w:t>
              </w:r>
            </w:hyperlink>
          </w:p>
          <w:p>
            <w:pPr>
              <w:pStyle w:val="registration-status"/>
              <w:spacing w:before="0" w:after="0"/>
            </w:pPr>
            <w:hyperlink w:history="true" r:id="R16f9432497484e2f">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60cccc8a9de5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fad87885e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ccc8a9de542a5" /><Relationship Type="http://schemas.openxmlformats.org/officeDocument/2006/relationships/header" Target="/word/header1.xml" Id="R1929b05519624e25" /><Relationship Type="http://schemas.openxmlformats.org/officeDocument/2006/relationships/settings" Target="/word/settings.xml" Id="R0ba3e2a620d949c2" /><Relationship Type="http://schemas.openxmlformats.org/officeDocument/2006/relationships/styles" Target="/word/styles.xml" Id="Rc6a14556afe443da" /><Relationship Type="http://schemas.openxmlformats.org/officeDocument/2006/relationships/numbering" Target="/word/numbering.xml" Id="R8764737fa464473a" /><Relationship Type="http://schemas.openxmlformats.org/officeDocument/2006/relationships/hyperlink" Target="https://meteor.aihw.gov.au/RegistrationAuthority/5" TargetMode="External" Id="Rb3327a8b3cc043e7" /><Relationship Type="http://schemas.openxmlformats.org/officeDocument/2006/relationships/hyperlink" Target="http://www.comlaw.gov.au/Series/C2004A03450" TargetMode="External" Id="R07651f55c7ff4d1f" /><Relationship Type="http://schemas.openxmlformats.org/officeDocument/2006/relationships/hyperlink" Target="http://www.aihw.gov.au/aihw-board/" TargetMode="External" Id="Rd0d6b14e0591454b" /><Relationship Type="http://schemas.openxmlformats.org/officeDocument/2006/relationships/hyperlink" Target="http://www.comlaw.gov.au/Series/C2004A03450" TargetMode="External" Id="R68c4fa15975d4bf9" /><Relationship Type="http://schemas.openxmlformats.org/officeDocument/2006/relationships/hyperlink" Target="http://www.comlaw.gov.au/Details/C2011C00503" TargetMode="External" Id="R8d45b69a3ec94719" /><Relationship Type="http://schemas.openxmlformats.org/officeDocument/2006/relationships/hyperlink" Target="http://www.aihw.gov.au/" TargetMode="External" Id="R7d7cb188b528455e" /><Relationship Type="http://schemas.openxmlformats.org/officeDocument/2006/relationships/hyperlink" Target="http://www.pc.gov.au/gsp/rogs/housing-homelessness" TargetMode="External" Id="R5155256156be4c97" /><Relationship Type="http://schemas.openxmlformats.org/officeDocument/2006/relationships/hyperlink" Target="http://www.pc.gov.au/gsp/rogs/housing-homelessness" TargetMode="External" Id="R46ab2c3b5a7c498f" /><Relationship Type="http://schemas.openxmlformats.org/officeDocument/2006/relationships/hyperlink" Target="mailto:housing@aihw.gov.au" TargetMode="External" Id="R3e598ee027af440a" /><Relationship Type="http://schemas.openxmlformats.org/officeDocument/2006/relationships/hyperlink" Target="https://meteor.aihw.gov.au/content/565508" TargetMode="External" Id="R1edbd38875794095" /><Relationship Type="http://schemas.openxmlformats.org/officeDocument/2006/relationships/hyperlink" Target="mailto:housing@aihw.gov.au" TargetMode="External" Id="R5b441152e19e4d71" /><Relationship Type="http://schemas.openxmlformats.org/officeDocument/2006/relationships/hyperlink" Target="https://meteor.aihw.gov.au/content/524909" TargetMode="External" Id="R865ff244c9fe443f" /><Relationship Type="http://schemas.openxmlformats.org/officeDocument/2006/relationships/hyperlink" Target="https://meteor.aihw.gov.au/RegistrationAuthority/5" TargetMode="External" Id="R072d3efbcaf846bf" /><Relationship Type="http://schemas.openxmlformats.org/officeDocument/2006/relationships/hyperlink" Target="https://meteor.aihw.gov.au/content/600439" TargetMode="External" Id="R7309780194c448e3" /><Relationship Type="http://schemas.openxmlformats.org/officeDocument/2006/relationships/hyperlink" Target="https://meteor.aihw.gov.au/RegistrationAuthority/5" TargetMode="External" Id="R16f9432497484e2f" /></Relationships>
</file>

<file path=word/_rels/header1.xml.rels>&#65279;<?xml version="1.0" encoding="utf-8"?><Relationships xmlns="http://schemas.openxmlformats.org/package/2006/relationships"><Relationship Type="http://schemas.openxmlformats.org/officeDocument/2006/relationships/image" Target="/media/image.png" Id="R205fad87885e491f" /></Relationships>
</file>