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9cfa02090647ea"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2013: National Health Workforce Data Set, 2013: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2013: National Health Workforce Data Set, 2013: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a9bf035744ebd">
              <w:r>
                <w:rPr>
                  <w:rStyle w:val="Hyperlink"/>
                  <w:color w:val="244061"/>
                </w:rPr>
                <w:t xml:space="preserve">AIHW Data Quality Statements</w:t>
              </w:r>
            </w:hyperlink>
            <w:r>
              <w:rPr>
                <w:rStyle w:val="row-content"/>
                <w:color w:val="244061"/>
              </w:rPr>
              <w:t xml:space="preserve">, Standard 09/09/2014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medical practitioners 2013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fourth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tool varies significantly in some aspects from previous years, but is now nationally consistent. The NHWDS: medical practitioners 2013 is also more complete than the NHWDS: medical practitioners 2010.</w:t>
            </w:r>
          </w:p>
          <w:p>
            <w:pPr>
              <w:spacing w:after="160"/>
            </w:pPr>
            <w:r>
              <w:rPr>
                <w:rStyle w:val="row-content-rich-text"/>
              </w:rPr>
              <w:t xml:space="preserve">The major issues with data quality for the NHWDS: medical practitioners 2013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to the methodology between the NHWDS: medical practitioners 2011 derivation and the NHWDS: medical practitioners 2012 derivation and 2013 derivation </w:t>
            </w:r>
          </w:p>
          <w:p>
            <w:pPr>
              <w:spacing w:after="160"/>
            </w:pPr>
            <w:r>
              <w:rPr>
                <w:rStyle w:val="row-content-rich-text"/>
              </w:rPr>
              <w:t xml:space="preserve"> </w:t>
            </w:r>
          </w:p>
          <w:p>
            <w:pPr>
              <w:spacing w:after="160"/>
            </w:pPr>
            <w:r>
              <w:rPr>
                <w:rStyle w:val="row-content-rich-text"/>
                <w:b/>
              </w:rPr>
              <w:t xml:space="preserve">Description </w:t>
            </w:r>
          </w:p>
          <w:p>
            <w:pPr>
              <w:spacing w:after="160"/>
            </w:pPr>
            <w:r>
              <w:rPr>
                <w:rStyle w:val="row-content-rich-text"/>
              </w:rPr>
              <w:t xml:space="preserve">The NHWDS: medical practitioners 2013 is a combination of registration and survey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an anniversary basis. This is the anniversary of when the individual practitioner last registered/renewed.</w:t>
            </w:r>
          </w:p>
          <w:p>
            <w:pPr>
              <w:spacing w:after="160"/>
            </w:pPr>
            <w:r>
              <w:rPr>
                <w:rStyle w:val="row-content-rich-text"/>
              </w:rPr>
              <w:t xml:space="preserve">Data collected at renewal include demographic information such as age, sex and country of birth; and details of health qualification(s) and registration status (see </w:t>
            </w:r>
            <w:hyperlink w:history="true" r:id="R766ad5c28c314247">
              <w:r>
                <w:rPr>
                  <w:rStyle w:val="Hyperlink"/>
                </w:rPr>
                <w:t xml:space="preserve">http://www.medicalboard.gov.au/Registration/Types.aspx</w:t>
              </w:r>
            </w:hyperlink>
            <w:r>
              <w:rPr>
                <w:rStyle w:val="row-content-rich-text"/>
              </w:rPr>
              <w:t xml:space="preserve"> and select link to Registration type and then Registration form).</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also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survey information in separate databases. They send these two de-identified data sets to the AIHW, where they are merged into a national data set.</w:t>
            </w:r>
          </w:p>
          <w:p>
            <w:pPr/>
            <w:r>
              <w:rPr>
                <w:rStyle w:val="row-content-rich-text"/>
              </w:rPr>
              <w:t xml:space="preserve">The paper registration and survey forms are sent back to AHPRA, where the paper registration forms are scanned and merged with the data obtained from the online process. The AHPRA sent the paper survey forms to the Health Workforce Australia (HWA) to be scanned into a data set. HWA then sent this data set to AIHW for merging with the online survey forms and registration data, cleansing and adjustment for non-response to form a nationally consistent data set. The final data set is then known as the National Health Workforce Data Set: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d86b54008d0f4857">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The HWA were responsible for the development of the workforce surveys.</w:t>
            </w:r>
          </w:p>
          <w:p>
            <w:pPr/>
            <w:r>
              <w:rPr>
                <w:rStyle w:val="row-content-rich-text"/>
              </w:rPr>
              <w:t xml:space="preserve">The AIHW receives registration (including demographic) information on medical practitioners via the mandatory national registration process administered by the AHPRA and the voluntary Medical Workforce Survey data collected at the time of registration renewal. The registration and workforce survey data are combined, cleansed and adjusted for non-response to form a national data set known as NHWDS: medical practitioners 2013. The AIHW is the data custodian of the NHWDS: medical practitioners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2013 is produced from the national registration renewal process, conducted from early August to 30 September 2013. Although the reference time is notionally the renewal date, 30 September 2013, legislation allows for a 1 month period of grace. Thus, the final registration closure date is 1 month after the renewal date. The AHPRA allows a further 2 weeks to allow for mail and data entry delays for completeness. Consequently the extraction of data occurs a month and a half after the renewal date (‘the extraction date’).</w:t>
            </w:r>
          </w:p>
          <w:p>
            <w:pPr>
              <w:spacing w:after="160"/>
            </w:pPr>
            <w:r>
              <w:rPr>
                <w:rStyle w:val="row-content-rich-text"/>
              </w:rPr>
              <w:t xml:space="preserve">The Medical Workforce Survey was collected between 1 July and 30 September 2013,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spacing w:after="160"/>
            </w:pPr>
            <w:r>
              <w:rPr>
                <w:rStyle w:val="row-content-rich-text"/>
              </w:rPr>
              <w:t xml:space="preserve">Due to delays with finalisation of data extraction from the new national registration system, complete and final data were provided to the AIHW later than originally scheduled.</w:t>
            </w:r>
          </w:p>
          <w:p>
            <w:pPr>
              <w:spacing w:after="160"/>
            </w:pPr>
            <w:r>
              <w:rPr>
                <w:rStyle w:val="row-content-rich-text"/>
              </w:rPr>
              <w:t xml:space="preserve">The data needed joint reviews by the AHPRA, the AIHW and the HWA to manage the range of considerations and data quality issues. This review process improved data quality, data definitions, metadata and data cleansing. This process delayed the supply of data but improved the overall quality.</w:t>
            </w:r>
          </w:p>
          <w:p>
            <w:pPr/>
            <w:r>
              <w:rPr>
                <w:rStyle w:val="row-content-rich-text"/>
              </w:rPr>
              <w:t xml:space="preserve">The AIHW expected to receive both the registration and workforce survey data simultaneously at the end of December 2013. Due to the factors above, the AIHW received complete useable registration and workforce survey data from the AHPRA in February 2014. The AHPRA have indicated that future data provision is anticipated to be timely and provided six weeks from the close of registration on 30 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2013 are published on the AIHW website at </w:t>
            </w:r>
            <w:hyperlink w:history="true" r:id="R58a8f52022e34bd4">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6e24fccd7b7f488d">
              <w:r>
                <w:rPr>
                  <w:rStyle w:val="Hyperlink"/>
                </w:rPr>
                <w:t xml:space="preserve">http://www.aihw.gov.au/custom-data-request-service/</w:t>
              </w:r>
            </w:hyperlink>
            <w:r>
              <w:rPr>
                <w:rStyle w:val="row-content-rich-text"/>
              </w:rPr>
              <w:t xml:space="preserve"> or via the Media and Strategic Engagement Unit on (02) 6244 1032 or via email to </w:t>
            </w:r>
            <w:hyperlink w:history="true" r:id="Re0fa01ccf9e14693">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medical practitioners 2013 are available on request from the Expenditure and Workforce Unit at the AIHW.</w:t>
            </w:r>
          </w:p>
          <w:p>
            <w:pPr/>
            <w:r>
              <w:rPr>
                <w:rStyle w:val="row-content-rich-text"/>
              </w:rPr>
              <w:t xml:space="preserve">The survey used by medical practitioners is available from the AIHW website </w:t>
            </w:r>
            <w:hyperlink w:history="true" r:id="R14e51d2ad5da47f6">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medical practitioners 2013 contain registration details of all registered medical practitioners in Australia at 30 September 2013.</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medical practitioners 2013 contains registration details of all registered medical practitioners in Australia at 30 September 2013.</w:t>
            </w:r>
          </w:p>
          <w:p>
            <w:pPr>
              <w:spacing w:after="160"/>
            </w:pPr>
            <w:r>
              <w:rPr>
                <w:rStyle w:val="row-content-rich-text"/>
              </w:rPr>
              <w:t xml:space="preserve">The data set also contains workforce information for registered medical practitioners who completed the Medical Workforce Survey. The overall response rate to the 2013 survey was 88.6%. That is, the number of responses to the survey represented 88.6% of registered medical practitioners. Of these responses, 94.7% completed the 2013 version of the survey online, 5.1% completed the 2013 version of the survey on paper and 0.2% completed the 2012 version of the survey on paper. The group with the lowest response rate was limited registrants (4,691 registrations with a response rate of 20.6%) who only complete paper survey forms on the anniversary of their first registration. As a result not only do they have a low response rate but they are more likely to complete the 2012 version of the survey on paper. This significantly affects the reliability of estimates for these small subgroups.</w:t>
            </w:r>
          </w:p>
          <w:p>
            <w:pPr>
              <w:spacing w:after="160"/>
            </w:pPr>
            <w:r>
              <w:rPr>
                <w:rStyle w:val="row-content-rich-text"/>
                <w:b/>
              </w:rPr>
              <w:t xml:space="preserve">Registration data from the NRAS </w:t>
            </w:r>
          </w:p>
          <w:p>
            <w:pPr>
              <w:spacing w:after="160"/>
            </w:pPr>
            <w:r>
              <w:rPr>
                <w:rStyle w:val="row-content-rich-text"/>
              </w:rPr>
              <w:t xml:space="preserve">Some data items collected as part of the previous AIHW Medical Labour Force Survey, such as date of birth, sex and specialty of practice, are now data items included as part of the registration and renewal process.</w:t>
            </w:r>
          </w:p>
          <w:p>
            <w:pPr>
              <w:spacing w:after="160"/>
            </w:pPr>
            <w:r>
              <w:rPr>
                <w:rStyle w:val="row-content-rich-text"/>
              </w:rPr>
              <w:t xml:space="preserve">The NRAS allows a medical practitioner to record more than one specialty, with up to 5 specialties recorded in 2013. However, the </w:t>
            </w:r>
            <w:r>
              <w:rPr>
                <w:rStyle w:val="row-content-rich-text"/>
                <w:i/>
              </w:rPr>
              <w:t xml:space="preserve">Health Practitioner Regulation National Law 2009</w:t>
            </w:r>
            <w:r>
              <w:rPr>
                <w:rStyle w:val="row-content-rich-text"/>
              </w:rPr>
              <w:t xml:space="preserve"> does not require or enable practitioners to identify their primary speciality. The survey now includes the reporting of hours worked in each specialty. The hours reported (where available) were used to determine which specialty was the primary specialty. In the 2012 survey, practitioners were asked to choose their main specialty on the basis of hours worked. However, many respondents in 2012 may have chosen the specialty they primarily identified with rather than the specialty they actually worked the most hours in.</w:t>
            </w:r>
          </w:p>
          <w:p>
            <w:pPr>
              <w:spacing w:after="160"/>
            </w:pPr>
            <w:r>
              <w:rPr>
                <w:rStyle w:val="row-content-rich-text"/>
              </w:rPr>
              <w:t xml:space="preserve">For medical practitioners with General practice specialty and another specialty, they may have not have regarded general practice as a specialty. In the 2012 survey, many of these practitioners identified the other specialty rather than General practice. In 2013, when asked to identify the hours worked in each specialty, many practitioners with both General practice specialty and another specialty identified more hours worked in the General practice specialty. This affects mainly specialties like Sports medicine and Addiction medicine which are commonly held in combination with the General practice specialty.</w:t>
            </w:r>
          </w:p>
          <w:p>
            <w:pPr>
              <w:spacing w:after="160"/>
            </w:pPr>
            <w:r>
              <w:rPr>
                <w:rStyle w:val="row-content-rich-text"/>
                <w:b/>
              </w:rPr>
              <w:t xml:space="preserve">Medical Workforce Survey 2013 sample </w:t>
            </w:r>
          </w:p>
          <w:p>
            <w:pPr>
              <w:spacing w:after="160"/>
            </w:pPr>
            <w:r>
              <w:rPr>
                <w:rStyle w:val="row-content-rich-text"/>
              </w:rPr>
              <w:t xml:space="preserve">All registered medical practitioners are provided a survey form upon renewal of their registration each year. Some initial registrants may not receive a survey if they are not required to renew within the target period.</w:t>
            </w:r>
          </w:p>
          <w:p>
            <w:pPr>
              <w:spacing w:after="160"/>
            </w:pPr>
            <w:r>
              <w:rPr>
                <w:rStyle w:val="row-content-rich-text"/>
                <w:b/>
              </w:rPr>
              <w:t xml:space="preserve">Medical Workforce Survey 2013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w:t>
            </w:r>
          </w:p>
          <w:p>
            <w:pPr>
              <w:spacing w:after="160"/>
            </w:pPr>
            <w:r>
              <w:rPr>
                <w:rStyle w:val="row-content-rich-text"/>
              </w:rPr>
              <w:t xml:space="preserve">In previous surveys and in the paper version of the survey respondents may have made inconsistent responses. For instance, respondents not correctly following the sequencing instructions for the employment questions may be assigned to an incorrect workforce status or not assigned a status, due to incomplete data.</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were found upon closer inspection to have overseas specialist qualifications with limited registration status and also to have answered ‘specialist-in-training’ questions. Under the </w:t>
            </w:r>
            <w:r>
              <w:rPr>
                <w:rStyle w:val="row-content-rich-text"/>
                <w:i/>
              </w:rPr>
              <w:t xml:space="preserve">Health Practitioner Regulation National Law 2009</w:t>
            </w:r>
            <w:r>
              <w:rPr>
                <w:rStyle w:val="row-content-rich-text"/>
              </w:rPr>
              <w:t xml:space="preserve">,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The Australian Health Workforce Ministerial Council has approved a list of specialties, fields of specialty practice and specialist titles.</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10.3%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Structure and format of data items </w:t>
            </w:r>
          </w:p>
          <w:p>
            <w:pPr>
              <w:spacing w:after="160"/>
            </w:pPr>
            <w:r>
              <w:rPr>
                <w:rStyle w:val="row-content-rich-text"/>
              </w:rPr>
              <w:t xml:space="preserve">Due to unstructured data entry formats, a number of items in the NHWDS: medical practitioners 2013 which required a numeric value contained text string responses. Where possible, these were recoded to the appropriate numeric value, but this was not possible in all instances. For example, some post code fields contained values other than valid post codes, such as text strings and overseas postal identifiers. Conversely, suburb fields sometimes contained invalid suburb names, 4-digit codes resembling postcodes, hospital names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 This process was aided by the AHPRA adding a country field to all addresses supplied to the AIHW for the first time in 2013.</w:t>
            </w:r>
          </w:p>
          <w:p>
            <w:pPr>
              <w:spacing w:after="160"/>
            </w:pPr>
            <w:r>
              <w:rPr>
                <w:rStyle w:val="row-content-rich-text"/>
                <w:b/>
              </w:rPr>
              <w:t xml:space="preserve">Estimation procedures </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rPr>
              <w:t xml:space="preserve"> </w:t>
            </w:r>
          </w:p>
          <w:p>
            <w:pPr>
              <w:spacing w:after="160"/>
            </w:pPr>
            <w:r>
              <w:rPr>
                <w:rStyle w:val="row-content-rich-text"/>
                <w:i/>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rPr>
              <w:t xml:space="preserve"> </w:t>
            </w:r>
          </w:p>
          <w:p>
            <w:pPr>
              <w:spacing w:after="160"/>
            </w:pPr>
            <w:r>
              <w:rPr>
                <w:rStyle w:val="row-content-rich-text"/>
                <w:i/>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was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2013—coherence with previous data </w:t>
            </w:r>
          </w:p>
          <w:p>
            <w:pPr>
              <w:spacing w:after="160"/>
            </w:pPr>
            <w:r>
              <w:rPr>
                <w:rStyle w:val="row-content-rich-text"/>
              </w:rPr>
              <w:t xml:space="preserve">Previously published data for 2011 and 2010 included provisional registrants in the weighting benchmarks as they were not separately weighted or identified in analysis. As a result, growth between 2011 and 2012 is understated by the order of 3.6%.</w:t>
            </w:r>
          </w:p>
          <w:p>
            <w:pPr>
              <w:spacing w:after="160"/>
            </w:pPr>
            <w:r>
              <w:rPr>
                <w:rStyle w:val="row-content-rich-text"/>
              </w:rPr>
              <w:t xml:space="preserve">There were a number of additional questions and additions to questions in the survey between 2012 and 2013 but very few other changes between the Medical Workforce Survey data for 2012 and 2013, so most data are considered comparable, though 2013 data do provide additional detail in some cases.</w:t>
            </w:r>
          </w:p>
          <w:p>
            <w:pPr>
              <w:spacing w:after="160"/>
            </w:pPr>
            <w:r>
              <w:rPr>
                <w:rStyle w:val="row-content-rich-text"/>
              </w:rPr>
              <w:t xml:space="preserve">There were many issues with the 2010 survey data, especially multiple supplies and revisions to the scope of data as well as the lack of data from Queensland and Western Australia. Queensland and Western Australia were consequently removed from the workforce tables in the 2010 publication.</w:t>
            </w:r>
          </w:p>
          <w:p>
            <w:pPr>
              <w:spacing w:after="160"/>
            </w:pPr>
            <w:r>
              <w:rPr>
                <w:rStyle w:val="row-content-rich-text"/>
              </w:rPr>
              <w:t xml:space="preserve">Due to the above issues,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2013,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8,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2013 are also different to that of the previous surveys because in some states and territories not all types of registered medical practitioners were sent a survey form.</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 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rPr>
              <w:t xml:space="preserve">Speciality of practice, from 2010 to 2013, was extracted at the time of registration renewal by the AHPRA from the NRAS data of legally recognised specialties. Before 2010, main specialty of practice information was self-reported from a set of statistical categories by registered medical practitioners in the AIHW Medical Labour Force Survey.</w:t>
            </w:r>
          </w:p>
          <w:p>
            <w:pPr>
              <w:spacing w:after="160"/>
            </w:pPr>
            <w:r>
              <w:rPr>
                <w:rStyle w:val="row-content-rich-text"/>
              </w:rPr>
              <w:t xml:space="preserve">The NRAS does not identify main specialty. There are also significant differences in the classification of categories of specialty of practice used in the NHWDS: medical practitioners from 2010 to 2013 compared with that used in the previous AIHW Medical Labour Force Survey reports. There are 84 valid legally-defined specialties and subspecialties in the NHWDS: medical practitioners, (for example: ‘cardiologist (physician)’ and ‘general practice’), while there were over 50 specialties published in the previous AIHW Medical Labour Force Survey reports.</w:t>
            </w:r>
          </w:p>
          <w:p>
            <w:pPr>
              <w:spacing w:after="160"/>
            </w:pPr>
            <w:r>
              <w:rPr>
                <w:rStyle w:val="row-content-rich-text"/>
              </w:rPr>
              <w:t xml:space="preserve">A new question was included in the 2012 survey to allow a primary specialty to be derived at the detailed level. Primary specialties in 2010 and 2011 were derived using their recorded specialties and information from the AIHW Medical Labour Force Survey 2009.</w:t>
            </w:r>
          </w:p>
          <w:p>
            <w:pPr>
              <w:spacing w:after="160"/>
            </w:pPr>
            <w:r>
              <w:rPr>
                <w:rStyle w:val="row-content-rich-text"/>
              </w:rPr>
              <w:t xml:space="preserve">Thus, comparison of 2012 and 2013 specialty data with results from earlier surveys should be treated with caution.</w:t>
            </w:r>
          </w:p>
          <w:p>
            <w:pPr>
              <w:spacing w:after="160"/>
            </w:pPr>
            <w:r>
              <w:rPr>
                <w:rStyle w:val="row-content-rich-text"/>
              </w:rPr>
              <w:t xml:space="preserve">A change in the response options for the question about ‘principal area of main job in medicine’, from ‘GP/primary care practitioner’ before 2010 to ‘general practitioner’ in 2011 and 2012 has impacts on the comparability of these responses over time, and time-series data should be used with caution. This may also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reading ‘general Practitioner (GP) (excluding AGPT program trainees)’. Similarly the Specialist in training category now reads ‘specialist in training (including AGPT program trainees)’. The AIHW estimates that of the order of a thousand medical practitioners have probably answered ‘specialist in 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cannot see any evidence in the data for a significant effect.</w:t>
            </w:r>
          </w:p>
          <w:p>
            <w:pPr>
              <w:spacing w:after="160"/>
            </w:pPr>
            <w:r>
              <w:rPr>
                <w:rStyle w:val="row-content-rich-text"/>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included only ‘hospital’ as a response category. The 2013 survey provided a distinction between 'outpatient’ and ‘other hospital’ settings.</w:t>
            </w:r>
          </w:p>
          <w:p>
            <w:pPr>
              <w:spacing w:after="160"/>
            </w:pPr>
            <w:r>
              <w:rPr>
                <w:rStyle w:val="row-content-rich-text"/>
              </w:rPr>
              <w:t xml:space="preserve">In 2012 and 2013, further information on hospital work settings was collected as part of the sector question where a more detailed split was included.</w:t>
            </w:r>
          </w:p>
          <w:p>
            <w:pPr>
              <w:spacing w:after="160"/>
            </w:pPr>
            <w:r>
              <w:rPr>
                <w:rStyle w:val="row-content-rich-text"/>
              </w:rPr>
              <w:t xml:space="preserve">Response options for the ‘hours worked by sector’ question were restricted in 2012 and 2013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include new questions on:</w:t>
            </w:r>
          </w:p>
          <w:p>
            <w:pPr>
              <w:pStyle w:val="ListParagraph"/>
              <w:numPr>
                <w:ilvl w:val="0"/>
                <w:numId w:val="4"/>
              </w:numPr>
            </w:pPr>
            <w:r>
              <w:rPr>
                <w:rStyle w:val="row-content-rich-text"/>
              </w:rPr>
              <w:t xml:space="preserve">Overseas field of medicine for registrants employed in medicine overseas.</w:t>
            </w:r>
          </w:p>
          <w:p>
            <w:pPr>
              <w:pStyle w:val="ListParagraph"/>
              <w:numPr>
                <w:ilvl w:val="0"/>
                <w:numId w:val="4"/>
              </w:numPr>
            </w:pPr>
            <w:r>
              <w:rPr>
                <w:rStyle w:val="row-content-rich-text"/>
              </w:rPr>
              <w:t xml:space="preserve">Occupation for registrants employed in a non-medical occupation. General practitioners (GP) (excluding AGPT program trainees) were asked if they were working in general practice with a specialist registration, and if they were working without a specialist registration they were asked if they were a RACGP/ACRRM/RVTS trainee.</w:t>
            </w:r>
          </w:p>
          <w:p>
            <w:pPr>
              <w:pStyle w:val="ListParagraph"/>
              <w:numPr>
                <w:ilvl w:val="0"/>
                <w:numId w:val="4"/>
              </w:numPr>
            </w:pPr>
            <w:r>
              <w:rPr>
                <w:rStyle w:val="row-content-rich-text"/>
              </w:rPr>
              <w:t xml:space="preserve">Hospital non-specialists were asked what their position in the hospital was.</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w:t>
            </w:r>
          </w:p>
          <w:p>
            <w:pPr>
              <w:pStyle w:val="ListParagraph"/>
              <w:numPr>
                <w:ilvl w:val="0"/>
                <w:numId w:val="5"/>
              </w:numPr>
            </w:pPr>
            <w:r>
              <w:rPr>
                <w:rStyle w:val="row-content-rich-text"/>
              </w:rPr>
              <w:t xml:space="preserve">The 2012 online version of the survey potentially allowed up to 7 specialties of training but this was not apparently intended.</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In 2013, the AIHW used that information to recode data for some people where it was apparent that the text could be recoded to one of the existing categories. For example, ‘pathology’ was recoded to ‘clinical’. </w:t>
            </w:r>
          </w:p>
          <w:p>
            <w:pPr>
              <w:spacing w:after="160"/>
            </w:pPr>
            <w:r>
              <w:rPr>
                <w:rStyle w:val="row-content-rich-text"/>
              </w:rPr>
              <w:t xml:space="preserve"> </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before 2010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eae4578476490f">
              <w:r>
                <w:rPr>
                  <w:rStyle w:val="Hyperlink"/>
                </w:rPr>
                <w:t xml:space="preserve">Australian Institute of Health and Welfare</w:t>
              </w:r>
            </w:hyperlink>
          </w:p>
        </w:tc>
      </w:tr>
    </w:tbl>
    <w:p>
      <w:r>
        <w:br/>
      </w:r>
    </w:p>
    <w:sectPr>
      <w:footerReference xmlns:r="http://schemas.openxmlformats.org/officeDocument/2006/relationships" w:type="default" r:id="R5a85c4103aa2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586763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d33024408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5c4103aa2447a" /><Relationship Type="http://schemas.openxmlformats.org/officeDocument/2006/relationships/header" Target="/word/header1.xml" Id="R9a41a5256b964416" /><Relationship Type="http://schemas.openxmlformats.org/officeDocument/2006/relationships/settings" Target="/word/settings.xml" Id="Rbc4a4ab925d34416" /><Relationship Type="http://schemas.openxmlformats.org/officeDocument/2006/relationships/styles" Target="/word/styles.xml" Id="R08179e9ad8244396" /><Relationship Type="http://schemas.openxmlformats.org/officeDocument/2006/relationships/hyperlink" Target="https://meteor.aihw.gov.au/RegistrationAuthority/5" TargetMode="External" Id="Rf2ba9bf035744ebd" /><Relationship Type="http://schemas.openxmlformats.org/officeDocument/2006/relationships/numbering" Target="/word/numbering.xml" Id="R2248891fbd9642a0" /><Relationship Type="http://schemas.openxmlformats.org/officeDocument/2006/relationships/hyperlink" Target="http://www.medicalboard.gov.au/Registration/Types.aspx" TargetMode="External" Id="R766ad5c28c314247" /><Relationship Type="http://schemas.openxmlformats.org/officeDocument/2006/relationships/hyperlink" Target="http://www.aihw.gov.au" TargetMode="External" Id="Rd86b54008d0f4857" /><Relationship Type="http://schemas.openxmlformats.org/officeDocument/2006/relationships/hyperlink" Target="http://www.aihw.gov.au/workforce/medical/" TargetMode="External" Id="R58a8f52022e34bd4" /><Relationship Type="http://schemas.openxmlformats.org/officeDocument/2006/relationships/hyperlink" Target="http://www.aihw.gov.au/custom-data-request-service/" TargetMode="External" Id="R6e24fccd7b7f488d" /><Relationship Type="http://schemas.openxmlformats.org/officeDocument/2006/relationships/hyperlink" Target="mailto:info@aihw.gov.au" TargetMode="External" Id="Re0fa01ccf9e14693" /><Relationship Type="http://schemas.openxmlformats.org/officeDocument/2006/relationships/hyperlink" Target="http://www.aihw.gov.au/workforce/medical/" TargetMode="External" Id="R14e51d2ad5da47f6" /><Relationship Type="http://schemas.openxmlformats.org/officeDocument/2006/relationships/hyperlink" Target="https://meteor.aihw.gov.au/content/246013" TargetMode="External" Id="R9deae4578476490f" /></Relationships>
</file>

<file path=word/_rels/header1.xml.rels>&#65279;<?xml version="1.0" encoding="utf-8"?><Relationships xmlns="http://schemas.openxmlformats.org/package/2006/relationships"><Relationship Type="http://schemas.openxmlformats.org/officeDocument/2006/relationships/image" Target="/media/image.png" Id="R0c7d3302440846bc" /></Relationships>
</file>