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0b283e44024cd1" /></Relationships>
</file>

<file path=word/document.xml><?xml version="1.0" encoding="utf-8"?>
<w:document xmlns:r="http://schemas.openxmlformats.org/officeDocument/2006/relationships" xmlns:w="http://schemas.openxmlformats.org/wordprocessingml/2006/main">
  <w:body>
    <w:p>
      <w:pPr>
        <w:pStyle w:val="Title"/>
      </w:pPr>
      <w:r>
        <w:t>Hospital peer groups modified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groups modified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0e7b3d9484d4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hospital peer groups modified for use in National Health Performance Reporting.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Large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Large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women's and children's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metropolitan hospitals</w:t>
            </w:r>
          </w:p>
          <w:p>
            <w:pPr>
              <w:spacing w:after="160"/>
            </w:pPr>
            <w:r>
              <w:rPr>
                <w:rStyle w:val="row-content-rich-text"/>
              </w:rPr>
              <w:t xml:space="preserve">Metropolitan hospitals with &gt;20,000 acute casemix-adjusted separations and &gt;20,000 ED presentations per annum. AIHW A1 peer group &gt;20,000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2     Major regional hospitals</w:t>
            </w:r>
          </w:p>
          <w:p>
            <w:pPr>
              <w:spacing w:after="160"/>
            </w:pPr>
            <w:r>
              <w:rPr>
                <w:rStyle w:val="row-content-rich-text"/>
              </w:rPr>
              <w:t xml:space="preserve">Regional hospitals with &gt;16,000 acute casemix-adjusted separations and &gt;20,000 ED presentations per annum. AIHW A1 peer group &gt;16,000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3     Large metropolitan hospitals</w:t>
            </w:r>
          </w:p>
          <w:p>
            <w:pPr>
              <w:spacing w:after="160"/>
            </w:pPr>
            <w:r>
              <w:rPr>
                <w:rStyle w:val="row-content-rich-text"/>
              </w:rPr>
              <w:t xml:space="preserve">Metropolitan acute hospitals treating &gt;10,000 acute casemix-adjusted separations and &gt;20,000 ED presentations per annum. B1 and B2 AIHW peer group &gt;10,000 acute casemix-adjusted separations.</w:t>
            </w:r>
          </w:p>
          <w:p>
            <w:pPr>
              <w:spacing w:after="160"/>
            </w:pPr>
            <w:r>
              <w:rPr>
                <w:rStyle w:val="row-content-rich-text"/>
              </w:rPr>
              <w:t xml:space="preserve">Code 4     Large regional hospitals</w:t>
            </w:r>
          </w:p>
          <w:p>
            <w:pPr>
              <w:spacing w:after="160"/>
            </w:pPr>
            <w:r>
              <w:rPr>
                <w:rStyle w:val="row-content-rich-text"/>
              </w:rPr>
              <w:t xml:space="preserve">Large regional acute hospitals treating &gt;8,000 acute casemix-adjusted separations and &gt;20,000 ED presentations per annum. All B1 and B2 AIHW peer group &gt;8,000 acute casemix-adjusted separations.</w:t>
            </w:r>
          </w:p>
          <w:p>
            <w:pPr>
              <w:spacing w:after="160"/>
            </w:pPr>
            <w:r>
              <w:rPr>
                <w:rStyle w:val="row-content-rich-text"/>
              </w:rPr>
              <w:t xml:space="preserve">Code 5     Medium hospitals</w:t>
            </w:r>
          </w:p>
          <w:p>
            <w:pPr>
              <w:spacing w:after="160"/>
            </w:pPr>
            <w:r>
              <w:rPr>
                <w:rStyle w:val="row-content-rich-text"/>
              </w:rPr>
              <w:t xml:space="preserve">Medium acute hospitals in metropolitan and regional areas treating between 5,000 and 10,000 acute casemix-adjusted separations and &gt;20,000 ED presentations per annum. All</w:t>
            </w:r>
          </w:p>
          <w:p>
            <w:pPr>
              <w:spacing w:after="160"/>
            </w:pPr>
            <w:r>
              <w:rPr>
                <w:rStyle w:val="row-content-rich-text"/>
              </w:rPr>
              <w:t xml:space="preserve">Code 6     Small acute, small sub-acute and small non-acute hospitals</w:t>
            </w:r>
          </w:p>
          <w:p>
            <w:pPr>
              <w:spacing w:after="160"/>
            </w:pPr>
            <w:r>
              <w:rPr>
                <w:rStyle w:val="row-content-rich-text"/>
              </w:rPr>
              <w:t xml:space="preserve">Includes:</w:t>
            </w:r>
          </w:p>
          <w:p>
            <w:pPr>
              <w:pStyle w:val="ListParagraph"/>
              <w:numPr>
                <w:ilvl w:val="0"/>
                <w:numId w:val="2"/>
              </w:numPr>
            </w:pPr>
            <w:r>
              <w:rPr>
                <w:rStyle w:val="row-content-rich-text"/>
              </w:rPr>
              <w:t xml:space="preserve">Small Regional acute hospitals (mainly small country town hospitals), acute hospitals treating &lt;2,000 separations per annum, and with less than 40% non-acute and outlier patient days of total patient days;</w:t>
            </w:r>
          </w:p>
          <w:p>
            <w:pPr>
              <w:pStyle w:val="ListParagraph"/>
              <w:numPr>
                <w:ilvl w:val="0"/>
                <w:numId w:val="2"/>
              </w:numPr>
            </w:pPr>
            <w:r>
              <w:rPr>
                <w:rStyle w:val="row-content-rich-text"/>
              </w:rPr>
              <w:t xml:space="preserve">Small Remote hospitals (&lt;5,000 acute casemix-adjusted separations but not 'multi-purpose services' and not 'small non-acute'). Most are &lt;2,000 separations;</w:t>
            </w:r>
          </w:p>
          <w:p>
            <w:pPr>
              <w:pStyle w:val="ListParagraph"/>
              <w:numPr>
                <w:ilvl w:val="0"/>
                <w:numId w:val="2"/>
              </w:numPr>
            </w:pPr>
            <w:r>
              <w:rPr>
                <w:rStyle w:val="row-content-rich-text"/>
              </w:rPr>
              <w:t xml:space="preserve">Small non-acute hospitals, treating &lt;2,000 separations per annum, and with more than 40% non-acute and outlier patient days of total patient days.</w:t>
            </w:r>
          </w:p>
          <w:p>
            <w:pPr>
              <w:spacing w:after="160"/>
            </w:pPr>
            <w:r>
              <w:rPr>
                <w:rStyle w:val="row-content-rich-text"/>
              </w:rPr>
              <w:t xml:space="preserve">Code 7     Specialist women's and children's</w:t>
            </w:r>
          </w:p>
          <w:p>
            <w:pPr>
              <w:spacing w:after="160"/>
            </w:pPr>
            <w:r>
              <w:rPr>
                <w:rStyle w:val="row-content-rich-text"/>
              </w:rPr>
              <w:t xml:space="preserve">Specialised acute women’s and children's hospitals with &gt;10,000 acute casemix-adjusted separations per annum. All A2 peer group hospitals.</w:t>
            </w:r>
          </w:p>
          <w:p>
            <w:pPr>
              <w:spacing w:after="160"/>
            </w:pPr>
            <w:r>
              <w:rPr>
                <w:rStyle w:val="row-content-rich-text"/>
              </w:rPr>
              <w:t xml:space="preserve">Code 8     Other</w:t>
            </w:r>
          </w:p>
          <w:p>
            <w:pPr/>
            <w:r>
              <w:rPr>
                <w:rStyle w:val="row-content-rich-text"/>
              </w:rPr>
              <w:t xml:space="preserve">Multi-purpose services, Hospices, Rehabilitation, Mothercraft, Other non-acute and Unpeered and other hospitals. E2, E4, E5, E9, F and G AIHW peer group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0e4f47711147a5">
              <w:r>
                <w:rPr>
                  <w:rStyle w:val="Hyperlink"/>
                </w:rPr>
                <w:t xml:space="preserve">Hospital—hospital peer group, modified code N</w:t>
              </w:r>
            </w:hyperlink>
          </w:p>
          <w:p>
            <w:pPr>
              <w:spacing w:before="0" w:after="0"/>
            </w:pPr>
            <w:r>
              <w:rPr>
                <w:rStyle w:val="row-content"/>
                <w:color w:val="244061"/>
              </w:rPr>
              <w:t xml:space="preserve">       </w:t>
            </w:r>
            <w:hyperlink w:history="true" r:id="R7a7228f8784a4aa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9e699a9de49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8f3f8c6dd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699a9de494310" /><Relationship Type="http://schemas.openxmlformats.org/officeDocument/2006/relationships/header" Target="/word/header1.xml" Id="R971f787b6e044c8a" /><Relationship Type="http://schemas.openxmlformats.org/officeDocument/2006/relationships/settings" Target="/word/settings.xml" Id="R90b47d5860c44837" /><Relationship Type="http://schemas.openxmlformats.org/officeDocument/2006/relationships/styles" Target="/word/styles.xml" Id="Rc8ecb7ec6fd94b39" /><Relationship Type="http://schemas.openxmlformats.org/officeDocument/2006/relationships/hyperlink" Target="https://meteor.aihw.gov.au/RegistrationAuthority/8" TargetMode="External" Id="Rfc00e7b3d9484d46" /><Relationship Type="http://schemas.openxmlformats.org/officeDocument/2006/relationships/numbering" Target="/word/numbering.xml" Id="R3f549b54238f411a" /><Relationship Type="http://schemas.openxmlformats.org/officeDocument/2006/relationships/hyperlink" Target="https://meteor.aihw.gov.au/content/584666" TargetMode="External" Id="R2f0e4f47711147a5" /><Relationship Type="http://schemas.openxmlformats.org/officeDocument/2006/relationships/hyperlink" Target="https://meteor.aihw.gov.au/RegistrationAuthority/8" TargetMode="External" Id="R7a7228f8784a4aae" /></Relationships>
</file>

<file path=word/_rels/header1.xml.rels>&#65279;<?xml version="1.0" encoding="utf-8"?><Relationships xmlns="http://schemas.openxmlformats.org/package/2006/relationships"><Relationship Type="http://schemas.openxmlformats.org/officeDocument/2006/relationships/image" Target="/media/image.png" Id="Rac78f3f8c6dd417a" /></Relationships>
</file>