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e392ab7884ede" /></Relationships>
</file>

<file path=word/document.xml><?xml version="1.0" encoding="utf-8"?>
<w:document xmlns:r="http://schemas.openxmlformats.org/officeDocument/2006/relationships" xmlns:w="http://schemas.openxmlformats.org/wordprocessingml/2006/main">
  <w:body>
    <w:p>
      <w:pPr>
        <w:pStyle w:val="Title"/>
      </w:pPr>
      <w:r>
        <w:t>Health profession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1c817399144cb">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5a1af874c44b58">
              <w:r>
                <w:rPr>
                  <w:rStyle w:val="Hyperlink"/>
                </w:rPr>
                <w:t xml:space="preserve">Health profession type code N[N].N</w:t>
              </w:r>
            </w:hyperlink>
          </w:p>
          <w:p>
            <w:pPr>
              <w:spacing w:before="0" w:after="0"/>
            </w:pPr>
            <w:r>
              <w:rPr>
                <w:rStyle w:val="row-content"/>
                <w:color w:val="244061"/>
              </w:rPr>
              <w:t xml:space="preserve">       </w:t>
            </w:r>
            <w:hyperlink w:history="true" r:id="Rdfde7e7ca3ac43f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9d8291c97a64a73">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10a15c211c43e3">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bc968fe333104b34">
              <w:r>
                <w:rPr>
                  <w:rStyle w:val="Hyperlink"/>
                  <w:color w:val="244061"/>
                </w:rPr>
                <w:t xml:space="preserve">Independent Hospital Pricing Authority</w:t>
              </w:r>
            </w:hyperlink>
            <w:r>
              <w:rPr>
                <w:rStyle w:val="row-content"/>
                <w:color w:val="244061"/>
              </w:rPr>
              <w:t xml:space="preserve">, Retired 27/11/2017</w:t>
            </w:r>
          </w:p>
          <w:p>
            <w:r>
              <w:br/>
            </w:r>
            <w:hyperlink w:history="true" r:id="Rae6415f94cdc41aa">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cedc667ab28a438b">
              <w:r>
                <w:rPr>
                  <w:rStyle w:val="Hyperlink"/>
                  <w:color w:val="244061"/>
                </w:rPr>
                <w:t xml:space="preserve">Independent Hospital Pricing Authority</w:t>
              </w:r>
            </w:hyperlink>
            <w:r>
              <w:rPr>
                <w:rStyle w:val="row-content"/>
                <w:color w:val="244061"/>
              </w:rPr>
              <w:t xml:space="preserve">, Retired 31/10/2017</w:t>
            </w:r>
          </w:p>
          <w:p>
            <w:r>
              <w:br/>
            </w:r>
            <w:hyperlink w:history="true" r:id="R53dc6f95154c4f67">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d1e9141835394c17">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982f89fe46c6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c11610b28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f89fe46c6401b" /><Relationship Type="http://schemas.openxmlformats.org/officeDocument/2006/relationships/header" Target="/word/header1.xml" Id="R6fda8ccec85944ec" /><Relationship Type="http://schemas.openxmlformats.org/officeDocument/2006/relationships/settings" Target="/word/settings.xml" Id="R09225b3536e249a9" /><Relationship Type="http://schemas.openxmlformats.org/officeDocument/2006/relationships/styles" Target="/word/styles.xml" Id="R7223a88db040451a" /><Relationship Type="http://schemas.openxmlformats.org/officeDocument/2006/relationships/hyperlink" Target="https://meteor.aihw.gov.au/RegistrationAuthority/3" TargetMode="External" Id="Rc761c817399144cb" /><Relationship Type="http://schemas.openxmlformats.org/officeDocument/2006/relationships/hyperlink" Target="https://meteor.aihw.gov.au/content/542857" TargetMode="External" Id="R5e5a1af874c44b58" /><Relationship Type="http://schemas.openxmlformats.org/officeDocument/2006/relationships/hyperlink" Target="https://meteor.aihw.gov.au/RegistrationAuthority/12" TargetMode="External" Id="Rdfde7e7ca3ac43fe" /><Relationship Type="http://schemas.openxmlformats.org/officeDocument/2006/relationships/hyperlink" Target="https://meteor.aihw.gov.au/RegistrationAuthority/3" TargetMode="External" Id="R19d8291c97a64a73" /><Relationship Type="http://schemas.openxmlformats.org/officeDocument/2006/relationships/hyperlink" Target="https://meteor.aihw.gov.au/content/584382" TargetMode="External" Id="R5610a15c211c43e3" /><Relationship Type="http://schemas.openxmlformats.org/officeDocument/2006/relationships/hyperlink" Target="https://meteor.aihw.gov.au/RegistrationAuthority/3" TargetMode="External" Id="Rbc968fe333104b34" /><Relationship Type="http://schemas.openxmlformats.org/officeDocument/2006/relationships/hyperlink" Target="https://meteor.aihw.gov.au/content/584373" TargetMode="External" Id="Rae6415f94cdc41aa" /><Relationship Type="http://schemas.openxmlformats.org/officeDocument/2006/relationships/hyperlink" Target="https://meteor.aihw.gov.au/RegistrationAuthority/3" TargetMode="External" Id="Rcedc667ab28a438b" /><Relationship Type="http://schemas.openxmlformats.org/officeDocument/2006/relationships/hyperlink" Target="https://meteor.aihw.gov.au/content/584362" TargetMode="External" Id="R53dc6f95154c4f67" /><Relationship Type="http://schemas.openxmlformats.org/officeDocument/2006/relationships/hyperlink" Target="https://meteor.aihw.gov.au/RegistrationAuthority/3" TargetMode="External" Id="Rd1e9141835394c17" /></Relationships>
</file>

<file path=word/_rels/header1.xml.rels>&#65279;<?xml version="1.0" encoding="utf-8"?><Relationships xmlns="http://schemas.openxmlformats.org/package/2006/relationships"><Relationship Type="http://schemas.openxmlformats.org/officeDocument/2006/relationships/image" Target="/media/image.png" Id="R6ddc11610b2849d3" /></Relationships>
</file>