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c7c00f1aed4eb1"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Average length of stay (ALOS) for multi-day stay patients in Australian public hospitals, 2013-2015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Average length of stay (ALOS) for multi-day stay patients in Australian public hospitals, 2013-2015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Average length of stay for multi-day stay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ALOS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75e6c57d13489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(mean) length of stay for multi-day stay patients within a given Australian Refined Diagnosis-Related Group (AR-DRG) in Australian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702d40339d4b19">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e414c0ff8e0e4ba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calculate the average length of stay the key unit that records information about a patient's stay in hospital is called an 'episode of admitted patient care'. This records information about the patient and the care they received in hospital, including:</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Diagnosis</w:t>
            </w:r>
          </w:p>
          <w:p>
            <w:pPr>
              <w:pStyle w:val="ListParagraph"/>
              <w:numPr>
                <w:ilvl w:val="0"/>
                <w:numId w:val="2"/>
              </w:numPr>
            </w:pPr>
            <w:r>
              <w:rPr>
                <w:rStyle w:val="row-content-rich-text"/>
              </w:rPr>
              <w:t xml:space="preserve">Procedure type</w:t>
            </w:r>
          </w:p>
          <w:p>
            <w:pPr>
              <w:pStyle w:val="ListParagraph"/>
              <w:numPr>
                <w:ilvl w:val="0"/>
                <w:numId w:val="2"/>
              </w:numPr>
            </w:pPr>
            <w:r>
              <w:rPr>
                <w:rStyle w:val="row-content-rich-text"/>
              </w:rPr>
              <w:t xml:space="preserve">Date of admission and</w:t>
            </w:r>
          </w:p>
          <w:p>
            <w:pPr>
              <w:pStyle w:val="ListParagraph"/>
              <w:numPr>
                <w:ilvl w:val="0"/>
                <w:numId w:val="2"/>
              </w:numPr>
            </w:pPr>
            <w:r>
              <w:rPr>
                <w:rStyle w:val="row-content-rich-text"/>
              </w:rPr>
              <w:t xml:space="preserve">Date of separation/discharge.</w:t>
            </w:r>
          </w:p>
          <w:p>
            <w:pPr>
              <w:spacing w:after="160"/>
            </w:pPr>
            <w:r>
              <w:rPr>
                <w:rStyle w:val="row-content-rich-text"/>
                <w:b/>
              </w:rPr>
              <w:t xml:space="preserve">Exclusions:</w:t>
            </w:r>
          </w:p>
          <w:p>
            <w:pPr>
              <w:spacing w:after="160"/>
            </w:pPr>
            <w:r>
              <w:rPr>
                <w:rStyle w:val="row-content-rich-text"/>
              </w:rPr>
              <w:t xml:space="preserve">The average length of stay indicator relates only to acute patients with a multi-day, or overnight, stay. The following episodes of care are excluded from all reported measures:</w:t>
            </w:r>
          </w:p>
          <w:p>
            <w:pPr>
              <w:pStyle w:val="ListParagraph"/>
              <w:numPr>
                <w:ilvl w:val="0"/>
                <w:numId w:val="3"/>
              </w:numPr>
            </w:pPr>
            <w:r>
              <w:rPr>
                <w:rStyle w:val="row-content-rich-text"/>
              </w:rPr>
              <w:t xml:space="preserve">Same day episodes, i.e. patients admitted and discharged on the same day</w:t>
            </w:r>
          </w:p>
          <w:p>
            <w:pPr>
              <w:pStyle w:val="ListParagraph"/>
              <w:numPr>
                <w:ilvl w:val="0"/>
                <w:numId w:val="3"/>
              </w:numPr>
            </w:pPr>
            <w:r>
              <w:rPr>
                <w:rStyle w:val="row-content-rich-text"/>
              </w:rPr>
              <w:t xml:space="preserve">Episodes for non-acute care</w:t>
            </w:r>
          </w:p>
          <w:p>
            <w:pPr>
              <w:pStyle w:val="ListParagraph"/>
              <w:numPr>
                <w:ilvl w:val="0"/>
                <w:numId w:val="3"/>
              </w:numPr>
            </w:pPr>
            <w:r>
              <w:rPr>
                <w:rStyle w:val="row-content-rich-text"/>
              </w:rPr>
              <w:t xml:space="preserve">Episodes where the patient died</w:t>
            </w:r>
          </w:p>
          <w:p>
            <w:pPr>
              <w:pStyle w:val="ListParagraph"/>
              <w:numPr>
                <w:ilvl w:val="0"/>
                <w:numId w:val="3"/>
              </w:numPr>
            </w:pPr>
            <w:r>
              <w:rPr>
                <w:rStyle w:val="row-content-rich-text"/>
              </w:rPr>
              <w:t xml:space="preserve">Episodes where the patient transferred to another facility within 2 days.</w:t>
            </w:r>
          </w:p>
          <w:p>
            <w:pPr>
              <w:spacing w:after="160"/>
            </w:pPr>
            <w:r>
              <w:rPr>
                <w:rStyle w:val="row-content-rich-text"/>
                <w:b/>
              </w:rPr>
              <w:t xml:space="preserve">Outlier removal:</w:t>
            </w:r>
            <w:r>
              <w:rPr>
                <w:rStyle w:val="row-content-rich-text"/>
              </w:rPr>
              <w:t xml:space="preserve"> </w:t>
            </w:r>
          </w:p>
          <w:p>
            <w:pPr>
              <w:spacing w:after="160"/>
            </w:pPr>
            <w:r>
              <w:rPr>
                <w:rStyle w:val="row-content-rich-text"/>
              </w:rPr>
              <w:t xml:space="preserve">Episodes determined to be extreme long stay outliers were removed. Outlier bounds are derived for each AR-DRG. The method selected for deriving national level outlier bounds uses the inter-quartile ranges as the guide for outlier exclusion. The method of detecting extreme outliers (mEO) is as follows:</w:t>
            </w:r>
          </w:p>
          <w:p>
            <w:pPr>
              <w:spacing w:after="160"/>
            </w:pPr>
            <w:r>
              <w:rPr>
                <w:rStyle w:val="row-content-rich-text"/>
              </w:rPr>
              <w:t xml:space="preserve">mEO = Q</w:t>
            </w:r>
            <w:r>
              <w:rPr>
                <w:rStyle w:val="row-content-rich-text"/>
                <w:vertAlign w:val="subscript"/>
              </w:rPr>
              <w:t xml:space="preserve">3 </w:t>
            </w:r>
            <w:r>
              <w:rPr>
                <w:rStyle w:val="row-content-rich-text"/>
              </w:rPr>
              <w:t xml:space="preserve">+ k*(Q</w:t>
            </w:r>
            <w:r>
              <w:rPr>
                <w:rStyle w:val="row-content-rich-text"/>
                <w:vertAlign w:val="subscript"/>
              </w:rPr>
              <w:t xml:space="preserve">3</w:t>
            </w:r>
            <w:r>
              <w:rPr>
                <w:rStyle w:val="row-content-rich-text"/>
              </w:rPr>
              <w:t xml:space="preserve">-Q</w:t>
            </w:r>
            <w:r>
              <w:rPr>
                <w:rStyle w:val="row-content-rich-text"/>
                <w:vertAlign w:val="subscript"/>
              </w:rPr>
              <w:t xml:space="preserve">1</w:t>
            </w:r>
            <w:r>
              <w:rPr>
                <w:rStyle w:val="row-content-rich-text"/>
              </w:rPr>
              <w:t xml:space="preserve">)</w:t>
            </w:r>
          </w:p>
          <w:p>
            <w:pPr>
              <w:spacing w:after="160"/>
            </w:pPr>
            <w:r>
              <w:rPr>
                <w:rStyle w:val="row-content-rich-text"/>
              </w:rPr>
              <w:t xml:space="preserve"> </w:t>
            </w:r>
          </w:p>
          <w:p>
            <w:pPr>
              <w:spacing w:after="160"/>
            </w:pPr>
            <w:r>
              <w:rPr>
                <w:rStyle w:val="row-content-rich-text"/>
              </w:rPr>
              <w:t xml:space="preserve">Where</w:t>
            </w:r>
          </w:p>
          <w:p>
            <w:pPr>
              <w:spacing w:after="160"/>
            </w:pPr>
            <w:r>
              <w:rPr>
                <w:rStyle w:val="row-content-rich-text"/>
              </w:rPr>
              <w:t xml:space="preserve">Q</w:t>
            </w:r>
            <w:r>
              <w:rPr>
                <w:rStyle w:val="row-content-rich-text"/>
                <w:vertAlign w:val="subscript"/>
              </w:rPr>
              <w:t xml:space="preserve">1</w:t>
            </w:r>
            <w:r>
              <w:rPr>
                <w:rStyle w:val="row-content-rich-text"/>
              </w:rPr>
              <w:t xml:space="preserve"> equals the 25</w:t>
            </w:r>
            <w:r>
              <w:rPr>
                <w:rStyle w:val="row-content-rich-text"/>
                <w:vertAlign w:val="superscript"/>
              </w:rPr>
              <w:t xml:space="preserve">th</w:t>
            </w:r>
            <w:r>
              <w:rPr>
                <w:rStyle w:val="row-content-rich-text"/>
              </w:rPr>
              <w:t xml:space="preserve"> percentile value</w:t>
            </w:r>
          </w:p>
          <w:p>
            <w:pPr>
              <w:spacing w:after="160"/>
            </w:pPr>
            <w:r>
              <w:rPr>
                <w:rStyle w:val="row-content-rich-text"/>
              </w:rPr>
              <w:t xml:space="preserve">Q</w:t>
            </w:r>
            <w:r>
              <w:rPr>
                <w:rStyle w:val="row-content-rich-text"/>
                <w:vertAlign w:val="subscript"/>
              </w:rPr>
              <w:t xml:space="preserve">3</w:t>
            </w:r>
            <w:r>
              <w:rPr>
                <w:rStyle w:val="row-content-rich-text"/>
              </w:rPr>
              <w:t xml:space="preserve"> equals the 75</w:t>
            </w:r>
            <w:r>
              <w:rPr>
                <w:rStyle w:val="row-content-rich-text"/>
                <w:vertAlign w:val="superscript"/>
              </w:rPr>
              <w:t xml:space="preserve">th</w:t>
            </w:r>
            <w:r>
              <w:rPr>
                <w:rStyle w:val="row-content-rich-text"/>
              </w:rPr>
              <w:t xml:space="preserve"> percentile value</w:t>
            </w:r>
          </w:p>
          <w:p>
            <w:pPr>
              <w:spacing w:after="160"/>
            </w:pPr>
            <w:r>
              <w:rPr>
                <w:rStyle w:val="row-content-rich-text"/>
              </w:rPr>
              <w:t xml:space="preserve">k equals non-negative values of a constant.</w:t>
            </w:r>
          </w:p>
          <w:p>
            <w:pPr>
              <w:spacing w:after="160"/>
            </w:pPr>
            <w:r>
              <w:rPr>
                <w:rStyle w:val="row-content-rich-text"/>
              </w:rPr>
              <w:t xml:space="preserve">Sensitivity analysis was conducted to identify k and resulted in k=10 being selected.</w:t>
            </w:r>
          </w:p>
          <w:p>
            <w:pPr>
              <w:spacing w:after="160"/>
            </w:pPr>
            <w:r>
              <w:rPr>
                <w:rStyle w:val="row-content-rich-text"/>
              </w:rPr>
              <w:t xml:space="preserve">This method is complemented by a minimum for the outlier bound of 20.</w:t>
            </w:r>
          </w:p>
          <w:p>
            <w:pPr>
              <w:spacing w:after="160"/>
            </w:pPr>
            <w:r>
              <w:rPr>
                <w:rStyle w:val="row-content-rich-text"/>
              </w:rPr>
              <w:t xml:space="preserve"> </w:t>
            </w:r>
          </w:p>
          <w:p>
            <w:pPr>
              <w:spacing w:after="160"/>
            </w:pPr>
            <w:r>
              <w:rPr>
                <w:rStyle w:val="row-content-rich-text"/>
                <w:b/>
              </w:rPr>
              <w:t xml:space="preserve">Reporting of results: </w:t>
            </w:r>
          </w:p>
          <w:p>
            <w:pPr>
              <w:spacing w:after="160"/>
            </w:pPr>
            <w:r>
              <w:rPr>
                <w:rStyle w:val="row-content-rich-text"/>
              </w:rPr>
              <w:t xml:space="preserve">Average length of stay is reported for the following AR-DRG (version 6.0x). The average length of stay is only reported for Australian public hospitals that have at least 10 multi-day stays within a given AR-DRG.</w:t>
            </w:r>
          </w:p>
          <w:p>
            <w:pPr>
              <w:spacing w:after="160"/>
            </w:pPr>
            <w:r>
              <w:rPr>
                <w:rStyle w:val="row-content-rich-text"/>
              </w:rPr>
              <w:t xml:space="preserve"> </w:t>
            </w:r>
          </w:p>
          <w:tbl>
            <w:tblPr>
              <w:tblStyle w:val="TableGrid"/>
              <w:tblW w:w="5000" w:type="pct"/>
              <w:tblLayout w:type="autofit"/>
            </w:tblPr>
            <w:tblGrid>
              <w:gridCol/>
              <w:gridCol/>
            </w:tblGrid>
            <w:tr>
              <w:trPr/>
              <w:tc>
                <w:tcPr>
                  <w:tcW w:w="1050" w:type="pct"/>
                  <w:gridSpan w:val="2"/>
                  <w:vAlign w:val="top"/>
                </w:tcPr>
                <w:p>
                  <w:pPr/>
                  <w:r>
                    <w:rPr>
                      <w:rStyle w:val="row-content-rich-text"/>
                    </w:rPr>
                    <w:t xml:space="preserve">Selection of AR-DRG (version 6.0x) codes and meanings</w:t>
                  </w:r>
                </w:p>
              </w:tc>
            </w:tr>
            <w:tr>
              <w:trPr/>
              <w:tc>
                <w:tcPr>
                  <w:tcW w:w="1050" w:type="pct"/>
                  <w:vAlign w:val="top"/>
                </w:tcPr>
                <w:p>
                  <w:r>
                    <w:t xml:space="preserve">AR-DRG code</w:t>
                  </w:r>
                </w:p>
              </w:tc>
              <w:tc>
                <w:tcPr>
                  <w:tcW w:w="3900" w:type="pct"/>
                  <w:vAlign w:val="top"/>
                </w:tcPr>
                <w:p>
                  <w:r>
                    <w:t xml:space="preserve">AR-DRG meaning</w:t>
                  </w:r>
                </w:p>
              </w:tc>
            </w:tr>
            <w:tr>
              <w:trPr/>
              <w:tc>
                <w:tcPr>
                  <w:tcW w:w="1050" w:type="pct"/>
                  <w:vAlign w:val="top"/>
                </w:tcPr>
                <w:p>
                  <w:r>
                    <w:t xml:space="preserve">E65A</w:t>
                  </w:r>
                </w:p>
              </w:tc>
              <w:tc>
                <w:tcPr>
                  <w:tcW w:w="3900" w:type="pct"/>
                  <w:vAlign w:val="top"/>
                </w:tcPr>
                <w:p>
                  <w:r>
                    <w:t xml:space="preserve">Chronic Obstructive Pulmonary Disease with complications</w:t>
                  </w:r>
                </w:p>
              </w:tc>
            </w:tr>
            <w:tr>
              <w:trPr/>
              <w:tc>
                <w:tcPr>
                  <w:tcW w:w="1050" w:type="pct"/>
                  <w:vAlign w:val="top"/>
                </w:tcPr>
                <w:p>
                  <w:r>
                    <w:t xml:space="preserve">E65B</w:t>
                  </w:r>
                </w:p>
              </w:tc>
              <w:tc>
                <w:tcPr>
                  <w:tcW w:w="3900" w:type="pct"/>
                  <w:vAlign w:val="top"/>
                </w:tcPr>
                <w:p>
                  <w:r>
                    <w:t xml:space="preserve">Chronic Obstructive Pulmonary Disease without complications</w:t>
                  </w:r>
                </w:p>
              </w:tc>
            </w:tr>
            <w:tr>
              <w:trPr/>
              <w:tc>
                <w:tcPr>
                  <w:tcW w:w="1050" w:type="pct"/>
                  <w:vAlign w:val="top"/>
                </w:tcPr>
                <w:p>
                  <w:r>
                    <w:t xml:space="preserve">F62A</w:t>
                  </w:r>
                </w:p>
              </w:tc>
              <w:tc>
                <w:tcPr>
                  <w:tcW w:w="3900" w:type="pct"/>
                  <w:vAlign w:val="top"/>
                </w:tcPr>
                <w:p>
                  <w:r>
                    <w:t xml:space="preserve">Heart Failure with complications</w:t>
                  </w:r>
                </w:p>
              </w:tc>
            </w:tr>
            <w:tr>
              <w:trPr/>
              <w:tc>
                <w:tcPr>
                  <w:tcW w:w="1050" w:type="pct"/>
                  <w:vAlign w:val="top"/>
                </w:tcPr>
                <w:p>
                  <w:r>
                    <w:t xml:space="preserve">F62B</w:t>
                  </w:r>
                </w:p>
              </w:tc>
              <w:tc>
                <w:tcPr>
                  <w:tcW w:w="3900" w:type="pct"/>
                  <w:vAlign w:val="top"/>
                </w:tcPr>
                <w:p>
                  <w:r>
                    <w:t xml:space="preserve">Heart Failure without complications</w:t>
                  </w:r>
                </w:p>
              </w:tc>
            </w:tr>
            <w:tr>
              <w:trPr/>
              <w:tc>
                <w:tcPr>
                  <w:tcW w:w="1050" w:type="pct"/>
                  <w:vAlign w:val="top"/>
                </w:tcPr>
                <w:p>
                  <w:r>
                    <w:t xml:space="preserve">G07B</w:t>
                  </w:r>
                </w:p>
              </w:tc>
              <w:tc>
                <w:tcPr>
                  <w:tcW w:w="3900" w:type="pct"/>
                  <w:vAlign w:val="top"/>
                </w:tcPr>
                <w:p>
                  <w:r>
                    <w:t xml:space="preserve">Appendix removal</w:t>
                  </w:r>
                </w:p>
              </w:tc>
            </w:tr>
            <w:tr>
              <w:trPr/>
              <w:tc>
                <w:tcPr>
                  <w:tcW w:w="1050" w:type="pct"/>
                  <w:vAlign w:val="top"/>
                </w:tcPr>
                <w:p>
                  <w:r>
                    <w:t xml:space="preserve">H08B</w:t>
                  </w:r>
                </w:p>
              </w:tc>
              <w:tc>
                <w:tcPr>
                  <w:tcW w:w="3900" w:type="pct"/>
                  <w:vAlign w:val="top"/>
                </w:tcPr>
                <w:p>
                  <w:r>
                    <w:t xml:space="preserve">Gallbladder removal</w:t>
                  </w:r>
                </w:p>
              </w:tc>
            </w:tr>
            <w:tr>
              <w:trPr/>
              <w:tc>
                <w:tcPr>
                  <w:tcW w:w="1050" w:type="pct"/>
                  <w:vAlign w:val="top"/>
                </w:tcPr>
                <w:p>
                  <w:r>
                    <w:t xml:space="preserve">I03B </w:t>
                  </w:r>
                </w:p>
              </w:tc>
              <w:tc>
                <w:tcPr>
                  <w:tcW w:w="3900" w:type="pct"/>
                  <w:vAlign w:val="top"/>
                </w:tcPr>
                <w:p>
                  <w:r>
                    <w:t xml:space="preserve">Hip replacement</w:t>
                  </w:r>
                </w:p>
              </w:tc>
            </w:tr>
            <w:tr>
              <w:trPr/>
              <w:tc>
                <w:tcPr>
                  <w:tcW w:w="1050" w:type="pct"/>
                  <w:vAlign w:val="top"/>
                </w:tcPr>
                <w:p>
                  <w:r>
                    <w:t xml:space="preserve">I04B</w:t>
                  </w:r>
                </w:p>
              </w:tc>
              <w:tc>
                <w:tcPr>
                  <w:tcW w:w="3900" w:type="pct"/>
                  <w:vAlign w:val="top"/>
                </w:tcPr>
                <w:p>
                  <w:r>
                    <w:t xml:space="preserve">Knee replacement</w:t>
                  </w:r>
                </w:p>
              </w:tc>
            </w:tr>
            <w:tr>
              <w:trPr/>
              <w:tc>
                <w:tcPr>
                  <w:tcW w:w="1050" w:type="pct"/>
                  <w:vAlign w:val="top"/>
                </w:tcPr>
                <w:p>
                  <w:r>
                    <w:t xml:space="preserve">J64B</w:t>
                  </w:r>
                </w:p>
              </w:tc>
              <w:tc>
                <w:tcPr>
                  <w:tcW w:w="3900" w:type="pct"/>
                  <w:vAlign w:val="top"/>
                </w:tcPr>
                <w:p>
                  <w:r>
                    <w:t xml:space="preserve">Cellulitis</w:t>
                  </w:r>
                </w:p>
              </w:tc>
            </w:tr>
            <w:tr>
              <w:trPr/>
              <w:tc>
                <w:tcPr>
                  <w:tcW w:w="1050" w:type="pct"/>
                  <w:vAlign w:val="top"/>
                </w:tcPr>
                <w:p>
                  <w:r>
                    <w:t xml:space="preserve">L63A</w:t>
                  </w:r>
                </w:p>
              </w:tc>
              <w:tc>
                <w:tcPr>
                  <w:tcW w:w="3900" w:type="pct"/>
                  <w:vAlign w:val="top"/>
                </w:tcPr>
                <w:p>
                  <w:r>
                    <w:t xml:space="preserve">Kidney and urinary tract infections with complications</w:t>
                  </w:r>
                </w:p>
              </w:tc>
            </w:tr>
            <w:tr>
              <w:trPr/>
              <w:tc>
                <w:tcPr>
                  <w:tcW w:w="1050" w:type="pct"/>
                  <w:vAlign w:val="top"/>
                </w:tcPr>
                <w:p>
                  <w:r>
                    <w:t xml:space="preserve">L63B</w:t>
                  </w:r>
                </w:p>
              </w:tc>
              <w:tc>
                <w:tcPr>
                  <w:tcW w:w="3900" w:type="pct"/>
                  <w:vAlign w:val="top"/>
                </w:tcPr>
                <w:p>
                  <w:r>
                    <w:t xml:space="preserve">Kidney and urinary tract infections without complications</w:t>
                  </w:r>
                </w:p>
              </w:tc>
            </w:tr>
            <w:tr>
              <w:trPr/>
              <w:tc>
                <w:tcPr>
                  <w:tcW w:w="1050" w:type="pct"/>
                  <w:vAlign w:val="top"/>
                </w:tcPr>
                <w:p>
                  <w:r>
                    <w:t xml:space="preserve">M02B</w:t>
                  </w:r>
                </w:p>
              </w:tc>
              <w:tc>
                <w:tcPr>
                  <w:tcW w:w="3900" w:type="pct"/>
                  <w:vAlign w:val="top"/>
                </w:tcPr>
                <w:p>
                  <w:r>
                    <w:t xml:space="preserve">Prostate removal</w:t>
                  </w:r>
                </w:p>
              </w:tc>
            </w:tr>
            <w:tr>
              <w:trPr/>
              <w:tc>
                <w:tcPr>
                  <w:tcW w:w="1050" w:type="pct"/>
                  <w:vAlign w:val="top"/>
                </w:tcPr>
                <w:p>
                  <w:r>
                    <w:t xml:space="preserve">N04B</w:t>
                  </w:r>
                </w:p>
              </w:tc>
              <w:tc>
                <w:tcPr>
                  <w:tcW w:w="3900" w:type="pct"/>
                  <w:vAlign w:val="top"/>
                </w:tcPr>
                <w:p>
                  <w:r>
                    <w:t xml:space="preserve">Hysterectomy</w:t>
                  </w:r>
                </w:p>
              </w:tc>
            </w:tr>
            <w:tr>
              <w:trPr/>
              <w:tc>
                <w:tcPr>
                  <w:tcW w:w="1050" w:type="pct"/>
                  <w:vAlign w:val="top"/>
                </w:tcPr>
                <w:p>
                  <w:r>
                    <w:t xml:space="preserve">N06B</w:t>
                  </w:r>
                </w:p>
              </w:tc>
              <w:tc>
                <w:tcPr>
                  <w:tcW w:w="3900" w:type="pct"/>
                  <w:vAlign w:val="top"/>
                </w:tcPr>
                <w:p>
                  <w:r>
                    <w:t xml:space="preserve">Gynaecological reconstructive procedures</w:t>
                  </w:r>
                </w:p>
              </w:tc>
            </w:tr>
            <w:tr>
              <w:trPr/>
              <w:tc>
                <w:tcPr>
                  <w:tcW w:w="1050" w:type="pct"/>
                  <w:vAlign w:val="top"/>
                </w:tcPr>
                <w:p>
                  <w:r>
                    <w:t xml:space="preserve">O01C</w:t>
                  </w:r>
                </w:p>
              </w:tc>
              <w:tc>
                <w:tcPr>
                  <w:tcW w:w="3900" w:type="pct"/>
                  <w:vAlign w:val="top"/>
                </w:tcPr>
                <w:p>
                  <w:r>
                    <w:t xml:space="preserve">Caesarean delivery</w:t>
                  </w:r>
                </w:p>
              </w:tc>
            </w:tr>
            <w:tr>
              <w:trPr/>
              <w:tc>
                <w:tcPr>
                  <w:tcW w:w="1050" w:type="pct"/>
                  <w:vAlign w:val="top"/>
                </w:tcPr>
                <w:p>
                  <w:r>
                    <w:t xml:space="preserve">O60B</w:t>
                  </w:r>
                </w:p>
              </w:tc>
              <w:tc>
                <w:tcPr>
                  <w:tcW w:w="3900" w:type="pct"/>
                  <w:vAlign w:val="top"/>
                </w:tcPr>
                <w:p>
                  <w:r>
                    <w:t xml:space="preserve">Vaginal delivery</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bed days attributable to a given AR-DRG for an Australian 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5206dfec4a4715">
              <w:r>
                <w:rPr>
                  <w:rStyle w:val="Hyperlink"/>
                </w:rPr>
                <w:t xml:space="preserve">Episode of admitted patient care—length of stay (excluding leave days), total N[NN]</w:t>
              </w:r>
            </w:hyperlink>
          </w:p>
          <w:p>
            <w:r>
              <w:rPr>
                <w:rStyle w:val="row-content"/>
                <w:b/>
              </w:rPr>
              <w:t xml:space="preserve">Data Source</w:t>
            </w:r>
          </w:p>
          <w:p>
            <w:hyperlink w:history="true" r:id="R142220f791ec4896">
              <w:r>
                <w:rPr>
                  <w:rStyle w:val="Hyperlink"/>
                </w:rPr>
                <w:t xml:space="preserve">Admitted Patient Care National Minimum Data Set (APC NMDS)</w:t>
              </w:r>
            </w:hyperlink>
          </w:p>
          <w:p>
            <w:r>
              <w:rPr>
                <w:rStyle w:val="row-content"/>
                <w:b/>
                <w:color w:val="000000"/>
              </w:rPr>
              <w:t xml:space="preserve">Data Element / Data Set</w:t>
            </w:r>
          </w:p>
          <w:p>
            <w:hyperlink w:history="true" r:id="Ra3dcc46e6a3d412f">
              <w:r>
                <w:rPr>
                  <w:rStyle w:val="Hyperlink"/>
                </w:rPr>
                <w:t xml:space="preserve">Episode of admitted patient care—major diagnostic category, condition/procedure code AR-DRG (version 6.0x) ANNA</w:t>
              </w:r>
            </w:hyperlink>
          </w:p>
          <w:p>
            <w:r>
              <w:rPr>
                <w:rStyle w:val="row-content"/>
                <w:b/>
              </w:rPr>
              <w:t xml:space="preserve">Data Source</w:t>
            </w:r>
          </w:p>
          <w:p>
            <w:hyperlink w:history="true" r:id="R8f64e30f5be14543">
              <w:r>
                <w:rPr>
                  <w:rStyle w:val="Hyperlink"/>
                </w:rPr>
                <w:t xml:space="preserve">Admitted Patient Care National Minimum Data Set (APC NMDS)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multi-day stays attributable to a given AR-DRG for an Australian 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19d33a859f451a">
              <w:r>
                <w:rPr>
                  <w:rStyle w:val="Hyperlink"/>
                </w:rPr>
                <w:t xml:space="preserve">Episode of admitted patient care—major diagnostic category, condition/procedure code AR-DRG (version 6.0x) ANNA</w:t>
              </w:r>
            </w:hyperlink>
          </w:p>
          <w:p>
            <w:r>
              <w:rPr>
                <w:rStyle w:val="row-content"/>
                <w:b/>
              </w:rPr>
              <w:t xml:space="preserve">Data Source</w:t>
            </w:r>
          </w:p>
          <w:p>
            <w:hyperlink w:history="true" r:id="R7fa6cd557e594e6f">
              <w:r>
                <w:rPr>
                  <w:rStyle w:val="Hyperlink"/>
                </w:rPr>
                <w:t xml:space="preserve">Admitted Patient Care National Minimum Data Set (APC NMDS)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is by:</w:t>
            </w:r>
          </w:p>
          <w:p>
            <w:pPr>
              <w:pStyle w:val="ListParagraph"/>
              <w:numPr>
                <w:ilvl w:val="0"/>
                <w:numId w:val="4"/>
              </w:numPr>
            </w:pPr>
            <w:r>
              <w:rPr>
                <w:rStyle w:val="row-content-rich-text"/>
              </w:rPr>
              <w:t xml:space="preserve">Australian public hospital by AR-DRG</w:t>
            </w:r>
          </w:p>
          <w:p>
            <w:pPr>
              <w:pStyle w:val="ListParagraph"/>
              <w:numPr>
                <w:ilvl w:val="0"/>
                <w:numId w:val="4"/>
              </w:numPr>
            </w:pPr>
            <w:r>
              <w:rPr>
                <w:rStyle w:val="row-content-rich-text"/>
              </w:rPr>
              <w:t xml:space="preserve">Peer group by AR-DRG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647606477643b7">
              <w:r>
                <w:rPr>
                  <w:rStyle w:val="Hyperlink"/>
                </w:rPr>
                <w:t xml:space="preserve">Establishment—organisation identifier (Australian), NNX[X]NNNNN</w:t>
              </w:r>
            </w:hyperlink>
          </w:p>
          <w:p>
            <w:r>
              <w:rPr>
                <w:rStyle w:val="row-content"/>
                <w:b/>
              </w:rPr>
              <w:t xml:space="preserve">Data Source</w:t>
            </w:r>
          </w:p>
          <w:p>
            <w:hyperlink w:history="true" r:id="R869d48985f194c8b">
              <w:r>
                <w:rPr>
                  <w:rStyle w:val="Hyperlink"/>
                </w:rPr>
                <w:t xml:space="preserve">Admitted Patient Care National Minimum Data Set (APC NMDS)</w:t>
              </w:r>
            </w:hyperlink>
          </w:p>
          <w:p>
            <w:r>
              <w:rPr>
                <w:rStyle w:val="row-content"/>
                <w:b/>
                <w:color w:val="000000"/>
              </w:rPr>
              <w:t xml:space="preserve">Data Element / Data Set</w:t>
            </w:r>
          </w:p>
          <w:p>
            <w:hyperlink w:history="true" r:id="Rfed1ea02f93240f8">
              <w:r>
                <w:rPr>
                  <w:rStyle w:val="Hyperlink"/>
                </w:rPr>
                <w:t xml:space="preserve">Hospital—hospital peer group, modified code N</w:t>
              </w:r>
            </w:hyperlink>
          </w:p>
          <w:p>
            <w:r>
              <w:rPr>
                <w:rStyle w:val="row-content"/>
                <w:b/>
              </w:rPr>
              <w:t xml:space="preserve">Guide for use</w:t>
            </w:r>
          </w:p>
          <w:p>
            <w:r>
              <w:rPr>
                <w:rStyle w:val="row-content"/>
              </w:rPr>
              <w:t xml:space="preserve"> </w:t>
            </w:r>
          </w:p>
          <w:p>
            <w:r>
              <w:rPr>
                <w:rStyle w:val="row-content"/>
              </w:rPr>
              <w:t xml:space="preserve">Comparison of hospital results to a peer result for average length of stay is available for major, large and medium hospitals as these hospitals account for the vast majority of episodes of care and bed days for the selected AR-DRGs.</w:t>
            </w:r>
          </w:p>
          <w:p>
            <w:r>
              <w:rPr>
                <w:rStyle w:val="row-content"/>
              </w:rPr>
              <w:t xml:space="preserve">Specialist women’s and children’s hospitals are treated separately for this indicator. Women’s hospitals are presented as part of the major metropolitan group for childbirth, hysterectomy, and gynaecological reconstructive procedures and contribute to the peer group average.</w:t>
            </w:r>
          </w:p>
          <w:p>
            <w:r>
              <w:rPr>
                <w:rStyle w:val="row-content"/>
              </w:rPr>
              <w:t xml:space="preserve">Children’s hospitals were identified as having high numbers of stays for appendix removal, cellulitis, chronic obstructive pulmonary disease without complications, and kidney and urinary tract infections without complications. For these conditions, they form their own peer group (excluding women’s hospitals) and comparisons are presented on the MyHospitals website.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Days, rounded to 1 dp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bfbf4a72d04b02">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38cc4766eb404d">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404a669e0ce342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20dd6fda1544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4a669e0ce3426c" /><Relationship Type="http://schemas.openxmlformats.org/officeDocument/2006/relationships/header" Target="/word/header1.xml" Id="Re0360801125b4418" /><Relationship Type="http://schemas.openxmlformats.org/officeDocument/2006/relationships/settings" Target="/word/settings.xml" Id="R580a9811db9e423e" /><Relationship Type="http://schemas.openxmlformats.org/officeDocument/2006/relationships/styles" Target="/word/styles.xml" Id="R58b75cd7e3584b66" /><Relationship Type="http://schemas.openxmlformats.org/officeDocument/2006/relationships/hyperlink" Target="https://meteor.aihw.gov.au/RegistrationAuthority/8" TargetMode="External" Id="R3075e6c57d134899" /><Relationship Type="http://schemas.openxmlformats.org/officeDocument/2006/relationships/hyperlink" Target="https://meteor.aihw.gov.au/content/528408" TargetMode="External" Id="Rb9702d40339d4b19" /><Relationship Type="http://schemas.openxmlformats.org/officeDocument/2006/relationships/hyperlink" Target="https://meteor.aihw.gov.au/RegistrationAuthority/8" TargetMode="External" Id="Re414c0ff8e0e4ba9" /><Relationship Type="http://schemas.openxmlformats.org/officeDocument/2006/relationships/numbering" Target="/word/numbering.xml" Id="Ra29f462941b24ca6" /><Relationship Type="http://schemas.openxmlformats.org/officeDocument/2006/relationships/hyperlink" Target="https://meteor.aihw.gov.au/content/269982" TargetMode="External" Id="R535206dfec4a4715" /><Relationship Type="http://schemas.openxmlformats.org/officeDocument/2006/relationships/hyperlink" Target="https://meteor.aihw.gov.au/content/394102" TargetMode="External" Id="R142220f791ec4896" /><Relationship Type="http://schemas.openxmlformats.org/officeDocument/2006/relationships/hyperlink" Target="https://meteor.aihw.gov.au/content/584603" TargetMode="External" Id="Ra3dcc46e6a3d412f" /><Relationship Type="http://schemas.openxmlformats.org/officeDocument/2006/relationships/hyperlink" Target="https://meteor.aihw.gov.au/content/394102" TargetMode="External" Id="R8f64e30f5be14543" /><Relationship Type="http://schemas.openxmlformats.org/officeDocument/2006/relationships/hyperlink" Target="https://meteor.aihw.gov.au/content/584603" TargetMode="External" Id="R7319d33a859f451a" /><Relationship Type="http://schemas.openxmlformats.org/officeDocument/2006/relationships/hyperlink" Target="https://meteor.aihw.gov.au/content/394102" TargetMode="External" Id="R7fa6cd557e594e6f" /><Relationship Type="http://schemas.openxmlformats.org/officeDocument/2006/relationships/hyperlink" Target="https://meteor.aihw.gov.au/content/269973" TargetMode="External" Id="R41647606477643b7" /><Relationship Type="http://schemas.openxmlformats.org/officeDocument/2006/relationships/hyperlink" Target="https://meteor.aihw.gov.au/content/394102" TargetMode="External" Id="R869d48985f194c8b" /><Relationship Type="http://schemas.openxmlformats.org/officeDocument/2006/relationships/hyperlink" Target="https://meteor.aihw.gov.au/content/584666" TargetMode="External" Id="Rfed1ea02f93240f8" /><Relationship Type="http://schemas.openxmlformats.org/officeDocument/2006/relationships/hyperlink" Target="https://meteor.aihw.gov.au/content/554926" TargetMode="External" Id="R52bfbf4a72d04b02" /><Relationship Type="http://schemas.openxmlformats.org/officeDocument/2006/relationships/hyperlink" Target="https://meteor.aihw.gov.au/content/394102" TargetMode="External" Id="R9138cc4766eb404d" /></Relationships>
</file>

<file path=word/_rels/header1.xml.rels>&#65279;<?xml version="1.0" encoding="utf-8"?><Relationships xmlns="http://schemas.openxmlformats.org/package/2006/relationships"><Relationship Type="http://schemas.openxmlformats.org/officeDocument/2006/relationships/image" Target="/media/image.png" Id="Ra120dd6fda1544da" /></Relationships>
</file>