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1d7e570f2240d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11 – Rate of pre-admission community care,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11 – Rate of pre-admission community care,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11: Rate of pre-admission community care,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584236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c02a5a89b24901">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admissions to the mental health service organisation’s acute psychiatric inpatient unit(s) for which a community mental health service contact, in which the consumer participated, was recorded in the seven days immediately preceding that admission.</w:t>
            </w:r>
          </w:p>
          <w:p>
            <w:pPr/>
            <w:r>
              <w:rPr>
                <w:rStyle w:val="row-content-rich-text"/>
                <w:b/>
              </w:rPr>
              <w:t xml:space="preserve">NOTE:</w:t>
            </w:r>
            <w:r>
              <w:rPr>
                <w:rStyle w:val="row-content-rich-text"/>
              </w:rPr>
              <w:t xml:space="preserve"> This indicator is related to MHS PI 11J: Rate of pre-admission community care (Jurisdictional level version).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To monitor the continuity/accessibility of care via the extent to which public sector community mental health services are involved with consumers prior to the admission to hospital to:</w:t>
            </w:r>
            <w:r>
              <w:br/>
            </w:r>
            <w:r>
              <w:rPr>
                <w:rStyle w:val="row-content-rich-text"/>
              </w:rPr>
              <w:t xml:space="preserve">        • support and alleviate distress during a period of great turmoil;</w:t>
            </w:r>
            <w:r>
              <w:br/>
            </w:r>
            <w:r>
              <w:rPr>
                <w:rStyle w:val="row-content-rich-text"/>
              </w:rPr>
              <w:t xml:space="preserve">        • relieve carer burden;</w:t>
            </w:r>
            <w:r>
              <w:br/>
            </w:r>
            <w:r>
              <w:rPr>
                <w:rStyle w:val="row-content-rich-text"/>
              </w:rPr>
              <w:t xml:space="preserve">        • avert hospital admission where possible;</w:t>
            </w:r>
            <w:r>
              <w:br/>
            </w:r>
            <w:r>
              <w:rPr>
                <w:rStyle w:val="row-content-rich-text"/>
              </w:rPr>
              <w:t xml:space="preserve">        • ensure that admission is the most appropriate treatment option;</w:t>
            </w:r>
            <w:r>
              <w:br/>
            </w:r>
            <w:r>
              <w:rPr>
                <w:rStyle w:val="row-content-rich-text"/>
              </w:rPr>
              <w:t xml:space="preserve">        • commence treatment of the patient as soon possible where admission may not be averted.</w:t>
            </w:r>
          </w:p>
          <w:p>
            <w:pPr>
              <w:pStyle w:val="ListParagraph"/>
              <w:numPr>
                <w:ilvl w:val="0"/>
                <w:numId w:val="2"/>
              </w:numPr>
            </w:pPr>
            <w:r>
              <w:rPr>
                <w:rStyle w:val="row-content-rich-text"/>
              </w:rPr>
              <w:t xml:space="preserve">The majority of consumers admitted to public sector acute psychiatric inpatient units are known to public sector community mental health services and it is reasonable to expect community teams should be involved in pre-admission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fad641fd19c4e1d">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60ddd7137e4a4b8d">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 The following admissions are excluded:</w:t>
            </w:r>
          </w:p>
          <w:p>
            <w:pPr>
              <w:pStyle w:val="ListParagraph"/>
              <w:numPr>
                <w:ilvl w:val="0"/>
                <w:numId w:val="3"/>
              </w:numPr>
            </w:pPr>
            <w:r>
              <w:rPr>
                <w:rStyle w:val="row-content-rich-text"/>
              </w:rPr>
              <w:t xml:space="preserve">Same day admissions;</w:t>
            </w:r>
          </w:p>
          <w:p>
            <w:pPr>
              <w:pStyle w:val="ListParagraph"/>
              <w:numPr>
                <w:ilvl w:val="0"/>
                <w:numId w:val="3"/>
              </w:numPr>
            </w:pPr>
            <w:r>
              <w:rPr>
                <w:rStyle w:val="row-content-rich-text"/>
              </w:rPr>
              <w:t xml:space="preserve">Statistical and change of care type admissions;</w:t>
            </w:r>
          </w:p>
          <w:p>
            <w:pPr>
              <w:pStyle w:val="ListParagraph"/>
              <w:numPr>
                <w:ilvl w:val="0"/>
                <w:numId w:val="3"/>
              </w:numPr>
            </w:pPr>
            <w:r>
              <w:rPr>
                <w:rStyle w:val="row-content-rich-text"/>
              </w:rPr>
              <w:t xml:space="preserve">Admissions by transfer from another acute or psychiatric inpatient hospital;</w:t>
            </w:r>
          </w:p>
          <w:p>
            <w:pPr>
              <w:pStyle w:val="ListParagraph"/>
              <w:numPr>
                <w:ilvl w:val="0"/>
                <w:numId w:val="3"/>
              </w:numPr>
            </w:pPr>
            <w:r>
              <w:rPr>
                <w:rStyle w:val="row-content-rich-text"/>
              </w:rPr>
              <w:t xml:space="preserve">Admissions by transfer from community residential mental health services;</w:t>
            </w:r>
          </w:p>
          <w:p>
            <w:pPr>
              <w:pStyle w:val="ListParagraph"/>
              <w:numPr>
                <w:ilvl w:val="0"/>
                <w:numId w:val="3"/>
              </w:numPr>
            </w:pPr>
            <w:r>
              <w:rPr>
                <w:rStyle w:val="row-content-rich-text"/>
              </w:rPr>
              <w:t xml:space="preserve">Separations where length of stay is one night only and procedure code for Electroconvulsive therapy (ECT) is recorded.</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Service contacts on day of admission;</w:t>
            </w:r>
          </w:p>
          <w:p>
            <w:pPr>
              <w:pStyle w:val="ListParagraph"/>
              <w:numPr>
                <w:ilvl w:val="0"/>
                <w:numId w:val="4"/>
              </w:numPr>
            </w:pPr>
            <w:r>
              <w:rPr>
                <w:rStyle w:val="row-content-rich-text"/>
              </w:rPr>
              <w:t xml:space="preserve">Contacts where a consumer does not participate.</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One of the following ECT procedure codes are recorded:</w:t>
            </w:r>
            <w:r>
              <w:br/>
            </w:r>
            <w:r>
              <w:rPr>
                <w:rStyle w:val="row-content-rich-text"/>
              </w:rPr>
              <w:t xml:space="preserve">        • ACHI 5th edition (2006–2008) use ICD-10 procedure codes 93340-02 and 93340-43.</w:t>
            </w:r>
            <w:r>
              <w:br/>
            </w:r>
            <w:r>
              <w:rPr>
                <w:rStyle w:val="row-content-rich-text"/>
              </w:rPr>
              <w:t xml:space="preserve">        • ACHI 6th and 7th editions (2008 to current) use ICD-10 procedure codes 93341-00 to 93341-99.</w:t>
            </w:r>
            <w:r>
              <w:br/>
            </w:r>
            <w:r>
              <w:rPr>
                <w:rStyle w:val="row-content-rich-text"/>
              </w:rPr>
              <w:t xml:space="preserve">        • ACHI 5th, 6th and 7th editions (2006 to current). Electroconvulsive therapy Block 1907 may be selected to capture all data regardless of code changes over time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admissions to the mental health service organisation’s acute psychiatric inpatient unit(s) for which a public sector community mental health service contact in which the consumer participated, was recorded in the seven days immediately preceding that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admissions to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SEIFA, remoteness, Indigenous status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6026c981a04456f">
              <w:r>
                <w:rPr>
                  <w:rStyle w:val="Hyperlink"/>
                </w:rPr>
                <w:t xml:space="preserve">Continuous</w:t>
              </w:r>
            </w:hyperlink>
            <w:r>
              <w:br/>
            </w:r>
            <w:r>
              <w:br/>
            </w:r>
          </w:p>
          <w:p>
            <w:hyperlink w:history="true" r:id="R2d9d14a288394a40">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that would allow persons admitted to hospital to be tracked in the community services data. Additionally, states and territories vary in the extent to which state-wide unique identifiers are in place to that would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admits the consumer to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w:t>
            </w:r>
          </w:p>
          <w:p>
            <w:pPr>
              <w:pStyle w:val="ListParagraph"/>
              <w:numPr>
                <w:ilvl w:val="0"/>
                <w:numId w:val="7"/>
              </w:numPr>
            </w:pPr>
            <w:r>
              <w:rPr>
                <w:rStyle w:val="row-content-rich-text"/>
              </w:rPr>
              <w:t xml:space="preserve">This measure does not consider variations in intensity or frequency of contacts prior to admission to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b06b01876a4793">
              <w:r>
                <w:rPr>
                  <w:rStyle w:val="Hyperlink"/>
                </w:rPr>
                <w:t xml:space="preserve">KPIs for Australian Public Mental Health Services: PI 11 – Pre-admission community mental health care, 2018 (Service level)</w:t>
              </w:r>
            </w:hyperlink>
          </w:p>
          <w:p>
            <w:pPr>
              <w:spacing w:before="0" w:after="0"/>
            </w:pPr>
            <w:r>
              <w:rPr>
                <w:rStyle w:val="row-content"/>
                <w:color w:val="244061"/>
              </w:rPr>
              <w:t xml:space="preserve">       </w:t>
            </w:r>
            <w:hyperlink w:history="true" r:id="Re4e28c24faff4913">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de05a396af254a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584236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7c71fd957946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05a396af254aff" /><Relationship Type="http://schemas.openxmlformats.org/officeDocument/2006/relationships/header" Target="/word/header1.xml" Id="R65b7457585f449c1" /><Relationship Type="http://schemas.openxmlformats.org/officeDocument/2006/relationships/settings" Target="/word/settings.xml" Id="R18fc8cfc869842aa" /><Relationship Type="http://schemas.openxmlformats.org/officeDocument/2006/relationships/styles" Target="/word/styles.xml" Id="R86539e2cda0147f2" /><Relationship Type="http://schemas.openxmlformats.org/officeDocument/2006/relationships/hyperlink" Target="https://meteor.aihw.gov.au/RegistrationAuthority/12" TargetMode="External" Id="R98c02a5a89b24901" /><Relationship Type="http://schemas.openxmlformats.org/officeDocument/2006/relationships/numbering" Target="/word/numbering.xml" Id="R24e44bd7a8974f32" /><Relationship Type="http://schemas.openxmlformats.org/officeDocument/2006/relationships/hyperlink" Target="https://meteor.aihw.gov.au/content/598184" TargetMode="External" Id="R1fad641fd19c4e1d" /><Relationship Type="http://schemas.openxmlformats.org/officeDocument/2006/relationships/hyperlink" Target="https://meteor.aihw.gov.au/RegistrationAuthority/12" TargetMode="External" Id="R60ddd7137e4a4b8d" /><Relationship Type="http://schemas.openxmlformats.org/officeDocument/2006/relationships/hyperlink" Target="https://meteor.aihw.gov.au/content/584864" TargetMode="External" Id="R46026c981a04456f" /><Relationship Type="http://schemas.openxmlformats.org/officeDocument/2006/relationships/hyperlink" Target="https://meteor.aihw.gov.au/content/584868" TargetMode="External" Id="R2d9d14a288394a40" /><Relationship Type="http://schemas.openxmlformats.org/officeDocument/2006/relationships/hyperlink" Target="https://meteor.aihw.gov.au/content/633046" TargetMode="External" Id="R67b06b01876a4793" /><Relationship Type="http://schemas.openxmlformats.org/officeDocument/2006/relationships/hyperlink" Target="https://meteor.aihw.gov.au/RegistrationAuthority/12" TargetMode="External" Id="Re4e28c24faff4913" /></Relationships>
</file>

<file path=word/_rels/header1.xml.rels>&#65279;<?xml version="1.0" encoding="utf-8"?><Relationships xmlns="http://schemas.openxmlformats.org/package/2006/relationships"><Relationship Type="http://schemas.openxmlformats.org/officeDocument/2006/relationships/image" Target="/media/image.png" Id="R1e7c71fd957946d9" /></Relationships>
</file>