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c39c10f787459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 – New client index,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 – New client index,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 New client index,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4e197655dd4fbf">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Percentage of new consumers under the care of the mental health service organisation’s mental health services.</w:t>
            </w:r>
          </w:p>
          <w:p>
            <w:pPr/>
            <w:r>
              <w:rPr>
                <w:rStyle w:val="row-content-rich-text"/>
                <w:b/>
              </w:rPr>
              <w:t xml:space="preserve">NOTE:</w:t>
            </w:r>
            <w:r>
              <w:rPr>
                <w:rStyle w:val="row-content-rich-text"/>
              </w:rPr>
              <w:t xml:space="preserve"> This indicator is related to MHS PI 09J: New client index (Jurisdictional level version).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to services by persons requiring care is a key issue and there is concern that public mental health service system is inadequately responding to new people requiring care.</w:t>
            </w:r>
          </w:p>
          <w:p>
            <w:pPr>
              <w:spacing w:after="160"/>
            </w:pPr>
            <w:r>
              <w:rPr>
                <w:rStyle w:val="row-content-rich-text"/>
              </w:rPr>
              <w:t xml:space="preserve">Existing population treatment rates are relatively low.</w:t>
            </w:r>
          </w:p>
          <w:p>
            <w:pPr/>
            <w:r>
              <w:rPr>
                <w:rStyle w:val="row-content-rich-text"/>
              </w:rPr>
              <w:t xml:space="preserve">There is concern that public sector mental health services invest a disproportionate level of resources in dealing with existing clients and too little in responding to the needs of new consumers as they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bca44e45f541a5">
              <w:r>
                <w:rPr>
                  <w:rStyle w:val="Hyperlink"/>
                </w:rPr>
                <w:t xml:space="preserve">Key Performance Indicators for Australian Public Mental Health Services (Service level version) (2015–2017)</w:t>
              </w:r>
            </w:hyperlink>
          </w:p>
          <w:p>
            <w:pPr>
              <w:pStyle w:val="registration-status"/>
              <w:spacing w:before="0" w:after="0"/>
            </w:pPr>
            <w:hyperlink w:history="true" r:id="Rd2169dc68fab460b">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The following exclusions apply:</w:t>
            </w:r>
          </w:p>
          <w:p>
            <w:pPr>
              <w:pStyle w:val="ListParagraph"/>
              <w:numPr>
                <w:ilvl w:val="0"/>
                <w:numId w:val="2"/>
              </w:numPr>
            </w:pPr>
            <w:r>
              <w:rPr>
                <w:rStyle w:val="row-content-rich-text"/>
              </w:rPr>
              <w:t xml:space="preserve">Mental health clients for which a unique person identifier was not recorded, that is non-uniquely identifiable clients, are to be excluded.</w:t>
            </w:r>
          </w:p>
          <w:p>
            <w:pPr>
              <w:spacing w:after="160"/>
            </w:pPr>
            <w:r>
              <w:rPr>
                <w:rStyle w:val="row-content-rich-text"/>
              </w:rPr>
              <w:t xml:space="preserve">Methodology:</w:t>
            </w:r>
          </w:p>
          <w:p>
            <w:pPr>
              <w:pStyle w:val="ListParagraph"/>
              <w:numPr>
                <w:ilvl w:val="0"/>
                <w:numId w:val="3"/>
              </w:numPr>
            </w:pPr>
            <w:r>
              <w:rPr>
                <w:rStyle w:val="row-content-rich-text"/>
              </w:rPr>
              <w:t xml:space="preserve">Tracking a consumer’s service use back from the date of first contact in the reference period should be calculated as the five years preceding the date of first contact rather than on a calendar or financial year basis.</w:t>
            </w:r>
          </w:p>
          <w:p>
            <w:pPr>
              <w:pStyle w:val="ListParagraph"/>
              <w:numPr>
                <w:ilvl w:val="0"/>
                <w:numId w:val="3"/>
              </w:numPr>
            </w:pPr>
            <w:r>
              <w:rPr>
                <w:rStyle w:val="row-content-rich-text"/>
              </w:rPr>
              <w:t xml:space="preserve">Consumer counts should be unique at the organisation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A new client is defined as a consumer who has not been seen in the five years preceding the first contact with the mental health service organisation in the reference period (inpatient, residential or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target population</w:t>
            </w:r>
          </w:p>
          <w:p>
            <w:pPr/>
            <w:r>
              <w:rPr>
                <w:rStyle w:val="row-content-rich-text"/>
              </w:rPr>
              <w:t xml:space="preserve">Consumer attributes: Age,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6863219b12a4b81">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w:t>
            </w:r>
            <w:r>
              <w:rPr>
                <w:rStyle w:val="row-content-rich-text"/>
              </w:rPr>
              <w:t xml:space="preserve">Level of the mental health system at which ‘newness’ is defined: Consumers new to a particular organisation may be existing consumers of other organisations. Counts of new consumers at the state/territory level would certainly yield lower estimates than those derived from organisation-level counts.</w:t>
            </w:r>
            <w:r>
              <w:br/>
            </w:r>
            <w:r>
              <w:br/>
            </w:r>
            <w:r>
              <w:rPr>
                <w:rStyle w:val="row-content-rich-text"/>
              </w:rPr>
              <w:t xml:space="preserve">        •</w:t>
            </w:r>
            <w:r>
              <w:rPr>
                <w:rStyle w:val="row-content-rich-text"/>
              </w:rPr>
              <w:t xml:space="preserve">Diagnosis criteria for defining ‘newness’: A consumer may present with a new condition, although they have received previous treatment for a different condition.</w:t>
            </w:r>
            <w:r>
              <w:br/>
            </w:r>
          </w:p>
          <w:p>
            <w:pPr>
              <w:pStyle w:val="ListParagraph"/>
              <w:numPr>
                <w:ilvl w:val="0"/>
                <w:numId w:val="5"/>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consumer and the possible implementation of unique state-wide patient identifiers within all jurisdictions.</w:t>
            </w:r>
          </w:p>
          <w:p>
            <w:pPr>
              <w:pStyle w:val="ListParagraph"/>
              <w:numPr>
                <w:ilvl w:val="0"/>
                <w:numId w:val="5"/>
              </w:numPr>
            </w:pPr>
            <w:r>
              <w:rPr>
                <w:rStyle w:val="row-content-rich-text"/>
              </w:rPr>
              <w:t xml:space="preserve">This work does not take into account the activities of private mental health services, primary mental health care or the specialist private mental health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f6f78303f84a03">
              <w:r>
                <w:rPr>
                  <w:rStyle w:val="Hyperlink"/>
                </w:rPr>
                <w:t xml:space="preserve">KPIs for Australian Public Mental Health Services: PI 09 – New Client Index, 2018 (Service level)</w:t>
              </w:r>
            </w:hyperlink>
          </w:p>
          <w:p>
            <w:pPr>
              <w:pStyle w:val="registration-status"/>
              <w:spacing w:before="0" w:after="0"/>
            </w:pPr>
            <w:hyperlink w:history="true" r:id="R891010b8899b4432">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be6188c4028844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584234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9508cd245e46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6188c40288442b" /><Relationship Type="http://schemas.openxmlformats.org/officeDocument/2006/relationships/header" Target="/word/header1.xml" Id="R750ef20ea66d489d" /><Relationship Type="http://schemas.openxmlformats.org/officeDocument/2006/relationships/settings" Target="/word/settings.xml" Id="R7fac4976371d4da4" /><Relationship Type="http://schemas.openxmlformats.org/officeDocument/2006/relationships/styles" Target="/word/styles.xml" Id="Rb652523e4088483a" /><Relationship Type="http://schemas.openxmlformats.org/officeDocument/2006/relationships/numbering" Target="/word/numbering.xml" Id="Rcaf48cf64a194077" /><Relationship Type="http://schemas.openxmlformats.org/officeDocument/2006/relationships/hyperlink" Target="https://meteor.aihw.gov.au/RegistrationAuthority/12" TargetMode="External" Id="Rf94e197655dd4fbf" /><Relationship Type="http://schemas.openxmlformats.org/officeDocument/2006/relationships/hyperlink" Target="https://meteor.aihw.gov.au/content/598184" TargetMode="External" Id="R91bca44e45f541a5" /><Relationship Type="http://schemas.openxmlformats.org/officeDocument/2006/relationships/hyperlink" Target="https://meteor.aihw.gov.au/RegistrationAuthority/12" TargetMode="External" Id="Rd2169dc68fab460b" /><Relationship Type="http://schemas.openxmlformats.org/officeDocument/2006/relationships/hyperlink" Target="https://meteor.aihw.gov.au/content/584868" TargetMode="External" Id="R56863219b12a4b81" /><Relationship Type="http://schemas.openxmlformats.org/officeDocument/2006/relationships/hyperlink" Target="https://meteor.aihw.gov.au/content/633042" TargetMode="External" Id="Rc0f6f78303f84a03" /><Relationship Type="http://schemas.openxmlformats.org/officeDocument/2006/relationships/hyperlink" Target="https://meteor.aihw.gov.au/RegistrationAuthority/12" TargetMode="External" Id="R891010b8899b4432" /></Relationships>
</file>

<file path=word/_rels/header1.xml.rels>&#65279;<?xml version="1.0" encoding="utf-8"?><Relationships xmlns="http://schemas.openxmlformats.org/package/2006/relationships"><Relationship Type="http://schemas.openxmlformats.org/officeDocument/2006/relationships/image" Target="/media/image.png" Id="R549508cd245e46e7" /></Relationships>
</file>