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19597732844d3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 – Proportion of population receiving clinical mental health care,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 – Proportion of population receiving clinical mental health care,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 Proportion of population receiving clinical mental health care,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2809abcdf7402c">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Percentage of consumers who reside in the mental health service organisation’s defined catchment area who received care from a public sector mental health service (including inpatient, ambulatory and residential).</w:t>
            </w:r>
          </w:p>
          <w:p>
            <w:pPr/>
            <w:r>
              <w:rPr>
                <w:rStyle w:val="row-content-rich-text"/>
                <w:b/>
              </w:rPr>
              <w:t xml:space="preserve">NOTE:</w:t>
            </w:r>
            <w:r>
              <w:rPr>
                <w:rStyle w:val="row-content-rich-text"/>
              </w:rPr>
              <w:t xml:space="preserve"> This indicator is related to </w:t>
            </w:r>
            <w:hyperlink w:history="true" r:id="Rede645a195fa4ded">
              <w:r>
                <w:rPr>
                  <w:rStyle w:val="Hyperlink"/>
                </w:rPr>
                <w:t xml:space="preserve">KPIs for Australian Public Mental Health Services: PI 08J – Proportion of population receiving clinical mental health care, 2015</w:t>
              </w:r>
            </w:hyperlink>
            <w:r>
              <w:rPr>
                <w:rStyle w:val="row-content-rich-text"/>
              </w:rPr>
              <w:t xml:space="preserve"> (Jurisdictional level version).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issue of unmet need has become prominent since the National Survey of Mental Health and Wellbeing indicated that a majority of people affected by a mental disorder do not receive treatment.</w:t>
            </w:r>
          </w:p>
          <w:p>
            <w:pPr>
              <w:spacing w:after="160"/>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spacing w:after="160"/>
            </w:pPr>
            <w:r>
              <w:rPr>
                <w:rStyle w:val="row-content-rich-text"/>
              </w:rPr>
              <w:t xml:space="preserve">Access issues figure prominently in concerns expressed by consumers and carers about the mental health care they receive. More recently, these concerns have been echoed in the wider community.</w:t>
            </w:r>
          </w:p>
          <w:p>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2f5a64878a4822">
              <w:r>
                <w:rPr>
                  <w:rStyle w:val="Hyperlink"/>
                </w:rPr>
                <w:t xml:space="preserve">Key Performance Indicators for Australian Public Mental Health Services (Service level version) (2015–2017)</w:t>
              </w:r>
            </w:hyperlink>
          </w:p>
          <w:p>
            <w:pPr>
              <w:pStyle w:val="registration-status"/>
              <w:spacing w:before="0" w:after="0"/>
            </w:pPr>
            <w:hyperlink w:history="true" r:id="Rb014cf359ff64fc4">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The following exclusions apply:</w:t>
            </w:r>
          </w:p>
          <w:p>
            <w:pPr>
              <w:pStyle w:val="ListParagraph"/>
              <w:numPr>
                <w:ilvl w:val="0"/>
                <w:numId w:val="2"/>
              </w:numPr>
            </w:pPr>
            <w:r>
              <w:rPr>
                <w:rStyle w:val="row-content-rich-text"/>
              </w:rPr>
              <w:t xml:space="preserve">Mental health clients for which a unique person identifier was not recorded, that is non-uniquely identifiable consumers.</w:t>
            </w:r>
          </w:p>
          <w:p>
            <w:pPr>
              <w:spacing w:after="160"/>
            </w:pPr>
            <w:r>
              <w:rPr>
                <w:rStyle w:val="row-content-rich-text"/>
              </w:rPr>
              <w:t xml:space="preserve">Methodology:</w:t>
            </w:r>
          </w:p>
          <w:p>
            <w:pPr>
              <w:pStyle w:val="ListParagraph"/>
              <w:numPr>
                <w:ilvl w:val="0"/>
                <w:numId w:val="3"/>
              </w:numPr>
            </w:pPr>
            <w:r>
              <w:rPr>
                <w:rStyle w:val="row-content-rich-text"/>
              </w:rPr>
              <w:t xml:space="preserve">Requires a non-duplicated consumer count across all settings.</w:t>
            </w:r>
          </w:p>
          <w:p>
            <w:pPr>
              <w:pStyle w:val="ListParagraph"/>
              <w:numPr>
                <w:ilvl w:val="0"/>
                <w:numId w:val="3"/>
              </w:numPr>
            </w:pPr>
            <w:r>
              <w:rPr>
                <w:rStyle w:val="row-content-rich-text"/>
              </w:rPr>
              <w:t xml:space="preserve">Statistical local area codes or postcodes recorded at time of community contact need to be mapped to mental health service organisation catchment population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reside in the defined catchment area who received services from the mental health service organisation’s specialised mental health services within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reside in the defined mental health service organisation’s catchment area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caf2b17ee5440a8">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health-related national minimum data sets (NMDSs) because the data sets do not include unique patient identifiers that allow linkage across data sets.</w:t>
            </w:r>
          </w:p>
          <w:p>
            <w:pPr>
              <w:spacing w:after="160"/>
            </w:pPr>
            <w:r>
              <w:rPr>
                <w:rStyle w:val="row-content-rich-text"/>
              </w:rPr>
              <w:t xml:space="preserve">A proxy solution is to use only the Community Mental Health Care NMDS, which is estimated to include more than 90% of all persons by public mental health services. The accuracy of this solution is limited by the fact that states and territories vary in the extent to which unique patient identifiers are available on a state-wide basis.</w:t>
            </w:r>
          </w:p>
          <w:p>
            <w:pPr>
              <w:spacing w:after="160"/>
            </w:pPr>
            <w:r>
              <w:rPr>
                <w:rStyle w:val="row-content-rich-text"/>
              </w:rPr>
              <w:t xml:space="preserve">Accurate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health-related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As defined populations may receive services from organisations other than their catchment provider, this measure is not a ‘pure’ indicator of mental health service organisation performance but more about service utilisation by the population they serve. However, it is regarded as an important indicator to understand the overall relationship of the mental health service organisation in relation to its catchment population needs.</w:t>
            </w:r>
          </w:p>
          <w:p>
            <w:pPr>
              <w:pStyle w:val="ListParagraph"/>
              <w:numPr>
                <w:ilvl w:val="0"/>
                <w:numId w:val="5"/>
              </w:numPr>
            </w:pPr>
            <w:r>
              <w:rPr>
                <w:rStyle w:val="row-content-rich-text"/>
              </w:rPr>
              <w:t xml:space="preserve">Resource allocation based on psychiatric epidemiology, associated morbidity and disability, mortality and socio-demographic factors is generally regarded as resulting in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5"/>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5"/>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8b5426185e844ba">
              <w:r>
                <w:rPr>
                  <w:rStyle w:val="Hyperlink"/>
                </w:rPr>
                <w:t xml:space="preserve">KPIs for Australian Public Mental Health Services: PI 08 – Population access to specialised clinical mental health care, 2018 (Service level)</w:t>
              </w:r>
            </w:hyperlink>
          </w:p>
          <w:p>
            <w:pPr>
              <w:pStyle w:val="registration-status"/>
              <w:spacing w:before="0" w:after="0"/>
            </w:pPr>
            <w:hyperlink w:history="true" r:id="R9dd4ce0679064dd9">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4bd4a624f85347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584223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bb5a32ce504b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d4a624f8534721" /><Relationship Type="http://schemas.openxmlformats.org/officeDocument/2006/relationships/header" Target="/word/header1.xml" Id="R02487a9d7ff84477" /><Relationship Type="http://schemas.openxmlformats.org/officeDocument/2006/relationships/settings" Target="/word/settings.xml" Id="R6e4dcca3c5044c9f" /><Relationship Type="http://schemas.openxmlformats.org/officeDocument/2006/relationships/styles" Target="/word/styles.xml" Id="Rca1148eea6a7456a" /><Relationship Type="http://schemas.openxmlformats.org/officeDocument/2006/relationships/numbering" Target="/word/numbering.xml" Id="Rda0bbc067a484863" /><Relationship Type="http://schemas.openxmlformats.org/officeDocument/2006/relationships/hyperlink" Target="https://meteor.aihw.gov.au/RegistrationAuthority/12" TargetMode="External" Id="Re82809abcdf7402c" /><Relationship Type="http://schemas.openxmlformats.org/officeDocument/2006/relationships/hyperlink" Target="https://meteor.aihw.gov.au/content/584375" TargetMode="External" Id="Rede645a195fa4ded" /><Relationship Type="http://schemas.openxmlformats.org/officeDocument/2006/relationships/hyperlink" Target="https://meteor.aihw.gov.au/content/598184" TargetMode="External" Id="Rb72f5a64878a4822" /><Relationship Type="http://schemas.openxmlformats.org/officeDocument/2006/relationships/hyperlink" Target="https://meteor.aihw.gov.au/RegistrationAuthority/12" TargetMode="External" Id="Rb014cf359ff64fc4" /><Relationship Type="http://schemas.openxmlformats.org/officeDocument/2006/relationships/hyperlink" Target="https://meteor.aihw.gov.au/content/584868" TargetMode="External" Id="R7caf2b17ee5440a8" /><Relationship Type="http://schemas.openxmlformats.org/officeDocument/2006/relationships/hyperlink" Target="https://meteor.aihw.gov.au/content/630413" TargetMode="External" Id="Rb8b5426185e844ba" /><Relationship Type="http://schemas.openxmlformats.org/officeDocument/2006/relationships/hyperlink" Target="https://meteor.aihw.gov.au/RegistrationAuthority/12" TargetMode="External" Id="R9dd4ce0679064dd9" /></Relationships>
</file>

<file path=word/_rels/header1.xml.rels>&#65279;<?xml version="1.0" encoding="utf-8"?><Relationships xmlns="http://schemas.openxmlformats.org/package/2006/relationships"><Relationship Type="http://schemas.openxmlformats.org/officeDocument/2006/relationships/image" Target="/media/image.png" Id="R25bb5a32ce504b12" /></Relationships>
</file>