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40b29a7554819"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f9f3f9fb84ad8">
              <w:r>
                <w:rPr>
                  <w:rStyle w:val="Hyperlink"/>
                  <w:color w:val="244061"/>
                </w:rPr>
                <w:t xml:space="preserve">Health</w:t>
              </w:r>
            </w:hyperlink>
            <w:r>
              <w:rPr>
                <w:rStyle w:val="row-content"/>
                <w:color w:val="244061"/>
              </w:rPr>
              <w:t xml:space="preserve">, Superseded 25/01/2018</w:t>
            </w:r>
          </w:p>
          <w:p>
            <w:pPr>
              <w:spacing w:before="0" w:after="0"/>
            </w:pPr>
            <w:hyperlink w:history="true" r:id="R951814b26f2e4662">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2741cf8e64941d7">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a58ed3b2e38b450a">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spacing w:after="160"/>
            </w:pPr>
            <w:r>
              <w:rPr>
                <w:rStyle w:val="row-content-rich-text"/>
              </w:rPr>
              <w:t xml:space="preserve">More information about Local Hospital Networks is available through the Local Hospital Network portal on the National Health Reform Public Hospital Funding website:</w:t>
            </w:r>
          </w:p>
          <w:p>
            <w:pPr/>
            <w:r>
              <w:rPr>
                <w:rStyle w:val="row-content-rich-text"/>
              </w:rPr>
              <w:t xml:space="preserve">National Health Reform Public Hospital Funding, Canberra. Viewed 22 August 2016, </w:t>
            </w:r>
            <w:hyperlink w:history="true" r:id="Rca28fa7f0f38461a">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7164c43d2b46e7">
              <w:r>
                <w:rPr>
                  <w:rStyle w:val="Hyperlink"/>
                </w:rPr>
                <w:t xml:space="preserve">Local Hospital Network identifier code NNN</w:t>
              </w:r>
            </w:hyperlink>
          </w:p>
          <w:p>
            <w:pPr>
              <w:spacing w:before="0" w:after="0"/>
            </w:pPr>
            <w:r>
              <w:rPr>
                <w:rStyle w:val="row-content"/>
                <w:color w:val="244061"/>
              </w:rPr>
              <w:t xml:space="preserve">       </w:t>
            </w:r>
            <w:hyperlink w:history="true" r:id="Rf1cae360cc384850">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773fb1e26a53448d">
              <w:r>
                <w:rPr>
                  <w:rStyle w:val="Hyperlink"/>
                </w:rPr>
                <w:t xml:space="preserve">Local Hospital Network identifier code NNN</w:t>
              </w:r>
            </w:hyperlink>
          </w:p>
          <w:p>
            <w:pPr>
              <w:spacing w:before="0" w:after="0"/>
            </w:pPr>
            <w:r>
              <w:rPr>
                <w:rStyle w:val="row-content"/>
                <w:color w:val="244061"/>
              </w:rPr>
              <w:t xml:space="preserve">       </w:t>
            </w:r>
            <w:hyperlink w:history="true" r:id="R0358284178864ceb">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0098ad2b2e894fc3">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b1d2733cde4432">
              <w:r>
                <w:rPr>
                  <w:rStyle w:val="Hyperlink"/>
                </w:rPr>
                <w:t xml:space="preserve">Establishment—Local Hospital Network identifier, code NNN</w:t>
              </w:r>
            </w:hyperlink>
          </w:p>
          <w:p>
            <w:pPr>
              <w:spacing w:before="0" w:after="0"/>
            </w:pPr>
            <w:r>
              <w:rPr>
                <w:rStyle w:val="row-content"/>
                <w:color w:val="244061"/>
              </w:rPr>
              <w:t xml:space="preserve">       </w:t>
            </w:r>
            <w:hyperlink w:history="true" r:id="R4cd861a969f14ae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9d73735404c46ec">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03e9c96e430c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584120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3e5aa79ecf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9c96e430c467f" /><Relationship Type="http://schemas.openxmlformats.org/officeDocument/2006/relationships/header" Target="/word/header1.xml" Id="Ra26781a577ef4864" /><Relationship Type="http://schemas.openxmlformats.org/officeDocument/2006/relationships/settings" Target="/word/settings.xml" Id="Rf64eb871206a4815" /><Relationship Type="http://schemas.openxmlformats.org/officeDocument/2006/relationships/styles" Target="/word/styles.xml" Id="Ra299cdf30855419e" /><Relationship Type="http://schemas.openxmlformats.org/officeDocument/2006/relationships/hyperlink" Target="https://meteor.aihw.gov.au/RegistrationAuthority/12" TargetMode="External" Id="R934f9f3f9fb84ad8" /><Relationship Type="http://schemas.openxmlformats.org/officeDocument/2006/relationships/hyperlink" Target="https://meteor.aihw.gov.au/RegistrationAuthority/3" TargetMode="External" Id="R951814b26f2e4662" /><Relationship Type="http://schemas.openxmlformats.org/officeDocument/2006/relationships/hyperlink" Target="https://meteor.aihw.gov.au/content/491016" TargetMode="External" Id="R62741cf8e64941d7" /><Relationship Type="http://schemas.openxmlformats.org/officeDocument/2006/relationships/hyperlink" Target="http://ths.tas.gov.au/" TargetMode="External" Id="Ra58ed3b2e38b450a" /><Relationship Type="http://schemas.openxmlformats.org/officeDocument/2006/relationships/hyperlink" Target="http://www.publichospitalfunding.gov.au/directory" TargetMode="External" Id="Rca28fa7f0f38461a" /><Relationship Type="http://schemas.openxmlformats.org/officeDocument/2006/relationships/hyperlink" Target="https://meteor.aihw.gov.au/content/552086" TargetMode="External" Id="R5c7164c43d2b46e7" /><Relationship Type="http://schemas.openxmlformats.org/officeDocument/2006/relationships/hyperlink" Target="https://meteor.aihw.gov.au/RegistrationAuthority/12" TargetMode="External" Id="Rf1cae360cc384850" /><Relationship Type="http://schemas.openxmlformats.org/officeDocument/2006/relationships/hyperlink" Target="https://meteor.aihw.gov.au/content/680978" TargetMode="External" Id="R773fb1e26a53448d" /><Relationship Type="http://schemas.openxmlformats.org/officeDocument/2006/relationships/hyperlink" Target="https://meteor.aihw.gov.au/RegistrationAuthority/12" TargetMode="External" Id="R0358284178864ceb" /><Relationship Type="http://schemas.openxmlformats.org/officeDocument/2006/relationships/hyperlink" Target="https://meteor.aihw.gov.au/RegistrationAuthority/3" TargetMode="External" Id="R0098ad2b2e894fc3" /><Relationship Type="http://schemas.openxmlformats.org/officeDocument/2006/relationships/hyperlink" Target="https://meteor.aihw.gov.au/content/584333" TargetMode="External" Id="Rf6b1d2733cde4432" /><Relationship Type="http://schemas.openxmlformats.org/officeDocument/2006/relationships/hyperlink" Target="https://meteor.aihw.gov.au/RegistrationAuthority/12" TargetMode="External" Id="R4cd861a969f14ae6" /><Relationship Type="http://schemas.openxmlformats.org/officeDocument/2006/relationships/hyperlink" Target="https://meteor.aihw.gov.au/RegistrationAuthority/3" TargetMode="External" Id="Ra9d73735404c46ec" /></Relationships>
</file>

<file path=word/_rels/header1.xml.rels>&#65279;<?xml version="1.0" encoding="utf-8"?><Relationships xmlns="http://schemas.openxmlformats.org/package/2006/relationships"><Relationship Type="http://schemas.openxmlformats.org/officeDocument/2006/relationships/image" Target="/media/image.png" Id="R0a3e5aa79ecf46cc" /></Relationships>
</file>