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1ca31f465b443f"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adba0896d4cae">
              <w:r>
                <w:rPr>
                  <w:rStyle w:val="Hyperlink"/>
                  <w:color w:val="244061"/>
                </w:rPr>
                <w:t xml:space="preserve">AIHW Data Quality Statements</w:t>
              </w:r>
            </w:hyperlink>
            <w:r>
              <w:rPr>
                <w:rStyle w:val="row-content"/>
                <w:color w:val="244061"/>
              </w:rPr>
              <w:t xml:space="preserve">, Standard 25/07/2014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Child Protection National Minimum Data Set (CP NMDS) was implemented in 2012–13. This unit record level data collection replaces the aggregate collection previously used for national reporting.</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jc w:val="left"/>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w:t>
            </w:r>
          </w:p>
          <w:p>
            <w:pPr>
              <w:spacing w:after="160"/>
            </w:pPr>
            <w:r>
              <w:rPr>
                <w:rStyle w:val="row-content-rich-text"/>
              </w:rPr>
              <w:t xml:space="preserve">Unit record level data were not available for Queensland in 2012–13; aggregate data have been reported.</w:t>
            </w:r>
          </w:p>
          <w:p>
            <w:pPr>
              <w:spacing w:after="160"/>
            </w:pPr>
            <w:r>
              <w:rPr>
                <w:rStyle w:val="row-content-rich-text"/>
              </w:rPr>
              <w:t xml:space="preserve">Although New South Wales provided unit record data to the AIHW, a decision was made to report aggregated data to maintain consistency across reporting in 2012–13.</w:t>
            </w:r>
          </w:p>
          <w:p>
            <w:pPr>
              <w:spacing w:after="160"/>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relation to substantiated child abuse and neglect, in some jurisdictions, there is a high proportion of children whose Indigenous status is unknown.</w:t>
            </w:r>
          </w:p>
          <w:p>
            <w:pPr>
              <w:spacing w:after="160"/>
            </w:pPr>
            <w:r>
              <w:rPr>
                <w:rStyle w:val="row-content-rich-text"/>
              </w:rPr>
              <w:t xml:space="preserve">Differences in jurisdictional policy, practice, legislation and data systems must be taken into consideration when interpreting all child protection data (see </w:t>
            </w:r>
            <w:hyperlink w:history="true" r:id="R737d10a21c874776">
              <w:r>
                <w:rPr>
                  <w:rStyle w:val="Hyperlink"/>
                </w:rPr>
                <w:t xml:space="preserve">Appendixes D–I (online)</w:t>
              </w:r>
            </w:hyperlink>
            <w:r>
              <w:rPr>
                <w:rStyle w:val="row-content-rich-text"/>
              </w:rPr>
              <w:t xml:space="preserve"> of </w:t>
            </w:r>
            <w:r>
              <w:rPr>
                <w:rStyle w:val="row-content-rich-text"/>
                <w:i/>
              </w:rPr>
              <w:t xml:space="preserve">Child protection Australia 2012–13</w:t>
            </w:r>
            <w:r>
              <w:rPr>
                <w:rStyle w:val="row-content-rich-text"/>
              </w:rPr>
              <w:t xml:space="preserve">).</w:t>
            </w:r>
          </w:p>
          <w:p>
            <w:pPr>
              <w:spacing w:after="160"/>
            </w:pPr>
            <w:r>
              <w:rPr>
                <w:rStyle w:val="row-content-rich-text"/>
              </w:rPr>
              <w:t xml:space="preserve">The ABS has improved the methodology used to obtain estimates of the resident population, which caused a downward revision of estimates based on the 2011 Census. An alternative methodology for estimating the Indigenous and non-Indigenous populations was used for 2012–13 reporting. Due to these changes, comparisons of rates over time should be interpreted with caution.</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CP NMDS was implemented in 2012–13.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3f86a071f681457c">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2012–13 Child Protection Collection is from 1 July 2012 to 30 June 2013. Data relating to child protection investigations includes investigation outcomes recorded up until 31 August 2013,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2012–13 collection, the first iteration of data was due to the AIHW by 31 October 2013, and data were finalised for all states and territories in April 2013. Data from the 2012–13 Child Protection Collection were published in July 2014.</w:t>
            </w:r>
          </w:p>
          <w:p>
            <w:pPr>
              <w:spacing w:after="160"/>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6e3b9142ec8d44f5">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&lt;http://www.aihw.gov.au/data/&gt;.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e815b4517bd941a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w:t>
            </w:r>
            <w:hyperlink w:history="true" r:id="Recfc8e9adb3a471f">
              <w:r>
                <w:rPr>
                  <w:rStyle w:val="Hyperlink"/>
                </w:rPr>
                <w:t xml:space="preserve">Appendixes D–I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For the first time in 2012–13, the overlaps between the three primary modules (notifications, investigations and substantiations; care and protection orders; and out-of-home care) has been analysed at the national level. A range of information about children who come into contact with the child protection system, including their age, sex, Indigenous status and living arrangements, is included.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NCSIIA,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 for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For the first time in 2012–13, the overall number of children receiving child protection services, along with the overlaps between the separate data modules, have been reported.</w:t>
            </w:r>
          </w:p>
          <w:p>
            <w:pPr>
              <w:spacing w:after="160"/>
            </w:pPr>
            <w:r>
              <w:rPr>
                <w:rStyle w:val="row-content-rich-text"/>
              </w:rPr>
              <w:t xml:space="preserve">Each year a number of children are the subjects of more than one notification and/or substantiation during the year. For the first time in 2012–13, the proportion of children who were the subject of more than one substantiation in the year has been reported.</w:t>
            </w:r>
          </w:p>
          <w:p>
            <w:pPr>
              <w:spacing w:after="160"/>
            </w:pPr>
            <w:r>
              <w:rPr>
                <w:rStyle w:val="row-content-rich-text"/>
              </w:rPr>
              <w:t xml:space="preserve">Ongoing work is being undertaken on the CP NMDS to broaden the scope of the national data collection and to improve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Children in substantiations of notifications received during 2012–13, by type of family in which the child was residing</w:t>
            </w:r>
            <w:r>
              <w:rPr>
                <w:rStyle w:val="row-content-rich-text"/>
              </w:rPr>
              <w:t xml:space="preserve">, Victoria and South Australia report a large proportion of family types in the ‘not stated’ category (91% and 40%, respectively) and these have not been included in the total. These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2012–13, by Indigenous status</w:t>
            </w:r>
            <w:r>
              <w:rPr>
                <w:rStyle w:val="row-content-rich-text"/>
              </w:rPr>
              <w:t xml:space="preserve"> should be interpreted with caution due to the high proportion of children whose Indigenous status was unknown in Western Australia, the Australian Capital Territory and Tasmania (26%, 24% and 20%, respectively).</w:t>
            </w:r>
          </w:p>
          <w:p>
            <w:pPr>
              <w:pStyle w:val="ListParagraph"/>
              <w:numPr>
                <w:ilvl w:val="0"/>
                <w:numId w:val="4"/>
              </w:numPr>
            </w:pPr>
            <w:r>
              <w:rPr>
                <w:rStyle w:val="row-content-rich-text"/>
                <w:i/>
              </w:rPr>
              <w:t xml:space="preserve">Children substantiated in 2011–12, and who were subsequently placed on care and protection orders within 12 months</w:t>
            </w:r>
            <w:r>
              <w:rPr>
                <w:rStyle w:val="row-content-rich-text"/>
              </w:rPr>
              <w:t xml:space="preserve">, are not available for New South Wales.</w:t>
            </w:r>
          </w:p>
          <w:p>
            <w:pPr>
              <w:pStyle w:val="ListParagraph"/>
              <w:numPr>
                <w:ilvl w:val="0"/>
                <w:numId w:val="4"/>
              </w:numPr>
            </w:pPr>
            <w:r>
              <w:rPr>
                <w:rStyle w:val="row-content-rich-text"/>
              </w:rPr>
              <w:t xml:space="preserve">Households exiting foster care and the number of foster children placed per household are not available for New South Wales.</w:t>
            </w:r>
          </w:p>
          <w:p>
            <w:pPr>
              <w:pStyle w:val="ListParagraph"/>
              <w:numPr>
                <w:ilvl w:val="0"/>
                <w:numId w:val="4"/>
              </w:numPr>
            </w:pPr>
            <w:r>
              <w:rPr>
                <w:rStyle w:val="row-content-rich-text"/>
              </w:rPr>
              <w:t xml:space="preserve">Relative/kinship carer households with a placement during the year are not available for Queensland.</w:t>
            </w:r>
          </w:p>
          <w:p>
            <w:pPr>
              <w:pStyle w:val="ListParagraph"/>
              <w:numPr>
                <w:ilvl w:val="0"/>
                <w:numId w:val="4"/>
              </w:numPr>
            </w:pPr>
            <w:r>
              <w:rPr>
                <w:rStyle w:val="row-content-rich-text"/>
              </w:rPr>
              <w:t xml:space="preserve">Households exiting relative/kinship care and the number of children in relative/kinship care placements that were placed per household are not available for New South Wales.</w:t>
            </w:r>
          </w:p>
          <w:p>
            <w:pPr>
              <w:pStyle w:val="ListParagraph"/>
              <w:numPr>
                <w:ilvl w:val="0"/>
                <w:numId w:val="4"/>
              </w:numPr>
            </w:pPr>
            <w:r>
              <w:rPr>
                <w:rStyle w:val="row-content-rich-text"/>
              </w:rPr>
              <w:t xml:space="preserve">The age of children commencing intensive family support services are not available for South Australia.</w:t>
            </w:r>
          </w:p>
          <w:p>
            <w:pPr>
              <w:pStyle w:val="ListParagraph"/>
              <w:numPr>
                <w:ilvl w:val="0"/>
                <w:numId w:val="4"/>
              </w:numPr>
            </w:pPr>
            <w:r>
              <w:rPr>
                <w:rStyle w:val="row-content-rich-text"/>
              </w:rPr>
              <w:t xml:space="preserve">The living arrangements of children commencing intensive family support services are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w:t>
            </w:r>
            <w:r>
              <w:rPr>
                <w:rStyle w:val="row-content-rich-text"/>
              </w:rPr>
              <w:t xml:space="preserve"> relate to:</w:t>
            </w:r>
          </w:p>
          <w:p>
            <w:pPr>
              <w:pStyle w:val="ListParagraph"/>
              <w:numPr>
                <w:ilvl w:val="0"/>
                <w:numId w:val="5"/>
              </w:numPr>
            </w:pPr>
            <w:r>
              <w:rPr>
                <w:rStyle w:val="row-content-rich-text"/>
              </w:rPr>
              <w:t xml:space="preserve">unique children receiving child protection services in each jurisdiction </w:t>
            </w:r>
          </w:p>
          <w:p>
            <w:pPr>
              <w:pStyle w:val="ListParagraph"/>
              <w:numPr>
                <w:ilvl w:val="0"/>
                <w:numId w:val="5"/>
              </w:numPr>
            </w:pPr>
            <w:r>
              <w:rPr>
                <w:rStyle w:val="row-content-rich-text"/>
              </w:rPr>
              <w:t xml:space="preserve">the number of substantiations per child </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socioeconomic status </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spacing w:after="160"/>
            </w:pPr>
            <w:r>
              <w:rPr>
                <w:rStyle w:val="row-content-rich-text"/>
              </w:rPr>
              <w:t xml:space="preserve">The ABS has improved the methodology used to obtain estimates of the resident population, which caused a downward revision of estimates based on the 2011 Census. As revised population projections for Aboriginal and Torres Strait Islander children were not available at the time of reporting, an alternative methodology for estimating the Indigenous and non-Indigenous populations was used for 2012–13.</w:t>
            </w:r>
          </w:p>
          <w:p>
            <w:pPr>
              <w:pStyle w:val="ListParagraph"/>
              <w:numPr>
                <w:ilvl w:val="0"/>
                <w:numId w:val="6"/>
              </w:numPr>
            </w:pPr>
            <w:r>
              <w:rPr>
                <w:rStyle w:val="row-content-rich-text"/>
              </w:rPr>
              <w:t xml:space="preserve">All Australian populations (‘All children’) are based on the final populations rebased to the 2011 Census (released 20 June 2013)</w:t>
            </w:r>
          </w:p>
          <w:p>
            <w:pPr>
              <w:pStyle w:val="ListParagraph"/>
              <w:numPr>
                <w:ilvl w:val="0"/>
                <w:numId w:val="6"/>
              </w:numPr>
            </w:pPr>
            <w:r>
              <w:rPr>
                <w:rStyle w:val="row-content-rich-text"/>
              </w:rPr>
              <w:t xml:space="preserve">Indigenous analyses are based on the 2006 Aboriginal and Torres Strait Islander experimental projections of Indigenous populations to 2021 (Series B). </w:t>
            </w:r>
          </w:p>
          <w:p>
            <w:pPr>
              <w:spacing w:after="160"/>
            </w:pPr>
            <w:r>
              <w:rPr>
                <w:rStyle w:val="row-content-rich-text"/>
              </w:rPr>
              <w:t xml:space="preserve">In order to ensure comparability, non-Indigenous populations are derived by subtracting the Indigenous population from the equivalent 2006 Census-based population projections for all time periods from 2006 onwards until new projections become available.</w:t>
            </w:r>
          </w:p>
          <w:p>
            <w:pPr/>
            <w:r>
              <w:rPr>
                <w:rStyle w:val="row-content-rich-text"/>
              </w:rPr>
              <w:t xml:space="preserve">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005f68bf519a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583957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fb35abc94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f68bf519a4653" /><Relationship Type="http://schemas.openxmlformats.org/officeDocument/2006/relationships/header" Target="/word/header1.xml" Id="R4fd02c28a3704efd" /><Relationship Type="http://schemas.openxmlformats.org/officeDocument/2006/relationships/settings" Target="/word/settings.xml" Id="R4faf94c245d747a3" /><Relationship Type="http://schemas.openxmlformats.org/officeDocument/2006/relationships/styles" Target="/word/styles.xml" Id="Refbd079120f748ff" /><Relationship Type="http://schemas.openxmlformats.org/officeDocument/2006/relationships/numbering" Target="/word/numbering.xml" Id="Rdd9360af42104549" /><Relationship Type="http://schemas.openxmlformats.org/officeDocument/2006/relationships/hyperlink" Target="https://meteor.aihw.gov.au/RegistrationAuthority/5" TargetMode="External" Id="Rd54adba0896d4cae" /><Relationship Type="http://schemas.openxmlformats.org/officeDocument/2006/relationships/hyperlink" Target="http://www.aihw.gov.au/publication-detail/?id=60129547965&amp;tab=3" TargetMode="External" Id="R737d10a21c874776" /><Relationship Type="http://schemas.openxmlformats.org/officeDocument/2006/relationships/hyperlink" Target="http://www.aihw.gov.au/" TargetMode="External" Id="R3f86a071f681457c" /><Relationship Type="http://schemas.openxmlformats.org/officeDocument/2006/relationships/hyperlink" Target="http://www.aihw.gov.au/child-protection/" TargetMode="External" Id="R6e3b9142ec8d44f5" /><Relationship Type="http://schemas.openxmlformats.org/officeDocument/2006/relationships/hyperlink" Target="mailto:info@aihw.gov.au" TargetMode="External" Id="Re815b4517bd941a1" /><Relationship Type="http://schemas.openxmlformats.org/officeDocument/2006/relationships/hyperlink" Target="http://www.aihw.gov.au/publication-detail/?id=60129547965&amp;tab=3" TargetMode="External" Id="Recfc8e9adb3a471f" /></Relationships>
</file>

<file path=word/_rels/header1.xml.rels>&#65279;<?xml version="1.0" encoding="utf-8"?><Relationships xmlns="http://schemas.openxmlformats.org/package/2006/relationships"><Relationship Type="http://schemas.openxmlformats.org/officeDocument/2006/relationships/image" Target="/media/image.png" Id="Rcfbfb35abc944ba2" /></Relationships>
</file>