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0e1cece2fc4c15"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Standardised Mini-Mental State Examination assessment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Standardised Mini-Mental State Examination assessment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cognitive ability (SMMSE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SMMSE score; Mini-Mental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3ad7f92cdf4f45">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 as represented by a Standardised Mini-Mental State Examination (SMMSE) score-based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b073aafb6f44e9">
              <w:r>
                <w:rPr>
                  <w:rStyle w:val="Hyperlink"/>
                </w:rPr>
                <w:t xml:space="preserve">Person—level of cognitive 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33a1e282924f8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0de9da15834a4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8fb31d0e494fe8">
              <w:r>
                <w:rPr>
                  <w:rStyle w:val="Hyperlink"/>
                </w:rPr>
                <w:t xml:space="preserve">Level of cognitive ability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db7b572fe94c8a">
              <w:r>
                <w:rPr>
                  <w:rStyle w:val="Hyperlink"/>
                </w:rPr>
                <w:t xml:space="preserve">Standardised Mini-Mental State Examination assessment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bdded019b5478d">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score of an item in the Standardised Mini-Mental State Examination (SMMSE) tool completed at the time of clinical assessment, covering a variety of cognitive domains.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Mini-Mental State Examination (SMMSE) is a clinical assessment tool which is used as a screening test for cognitive impairment (Molloy D, Alemayehu E, Roberts R 1991a).</w:t>
            </w:r>
          </w:p>
          <w:p>
            <w:pPr>
              <w:spacing w:after="160"/>
            </w:pPr>
            <w:r>
              <w:rPr>
                <w:rStyle w:val="row-content-rich-text"/>
              </w:rPr>
              <w:t xml:space="preserve">The SMMSE consists of 12 items or questions which cover a range of cognitive domains. Each item has a maximum score:</w:t>
            </w:r>
          </w:p>
          <w:p>
            <w:pPr>
              <w:spacing w:after="160"/>
            </w:pPr>
            <w:r>
              <w:rPr>
                <w:rStyle w:val="row-content-rich-text"/>
              </w:rPr>
              <w:t xml:space="preserve"> </w:t>
            </w:r>
          </w:p>
          <w:tbl>
            <w:tblPr>
              <w:tblStyle w:val="TableGrid"/>
              <w:tblW w:w="5000" w:type="pct"/>
              <w:tblLayout w:type="autofit"/>
            </w:tblPr>
            <w:tblGrid>
              <w:gridCol/>
              <w:gridCol/>
              <w:gridCol/>
            </w:tblGrid>
            <w:tr>
              <w:trPr/>
              <w:tc>
                <w:tcPr>
                  <w:tcW w:w="1500" w:type="pct"/>
                  <w:vAlign w:val="top"/>
                </w:tcPr>
                <w:p>
                  <w:pPr/>
                  <w:r>
                    <w:rPr>
                      <w:rStyle w:val="row-content-rich-text"/>
                    </w:rPr>
                    <w:t xml:space="preserve"> </w:t>
                  </w:r>
                  <w:r>
                    <w:rPr>
                      <w:rStyle w:val="row-content-rich-text"/>
                      <w:i/>
                    </w:rPr>
                    <w:t xml:space="preserve">Question/ Item number</w:t>
                  </w:r>
                </w:p>
              </w:tc>
              <w:tc>
                <w:tcPr>
                  <w:tcW w:w="2500" w:type="pct"/>
                  <w:vAlign w:val="top"/>
                </w:tcPr>
                <w:p>
                  <w:r>
                    <w:rPr>
                      <w:i/>
                    </w:rPr>
                    <w:t xml:space="preserve">Cognitive domain</w:t>
                  </w:r>
                </w:p>
              </w:tc>
              <w:tc>
                <w:tcPr>
                  <w:tcW w:w="950" w:type="pct"/>
                  <w:vAlign w:val="top"/>
                </w:tcPr>
                <w:p>
                  <w:r>
                    <w:rPr>
                      <w:i/>
                    </w:rPr>
                    <w:t xml:space="preserve">Maximum score</w:t>
                  </w:r>
                </w:p>
              </w:tc>
            </w:tr>
            <w:tr>
              <w:trPr/>
              <w:tc>
                <w:tcPr>
                  <w:tcW w:w="1500" w:type="pct"/>
                  <w:vAlign w:val="top"/>
                </w:tcPr>
                <w:p>
                  <w:r>
                    <w:t xml:space="preserve">1</w:t>
                  </w:r>
                </w:p>
              </w:tc>
              <w:tc>
                <w:tcPr>
                  <w:tcW w:w="2500" w:type="pct"/>
                  <w:vAlign w:val="top"/>
                </w:tcPr>
                <w:p>
                  <w:r>
                    <w:t xml:space="preserve">Orientation - time</w:t>
                  </w:r>
                </w:p>
              </w:tc>
              <w:tc>
                <w:tcPr>
                  <w:tcW w:w="95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95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95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95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95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95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95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95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95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95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950" w:type="pct"/>
                  <w:vAlign w:val="top"/>
                </w:tcPr>
                <w:p>
                  <w:r>
                    <w:t xml:space="preserve">30</w:t>
                  </w:r>
                </w:p>
              </w:tc>
            </w:tr>
          </w:tbl>
          <w:p>
            <w:r>
              <w:t xml:space="preserve"> </w:t>
            </w:r>
          </w:p>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scores are summed for the 12 items ranging from a minimum of 0 to a maximum of 30. The SMMSE can be adjusted for non-cognitive disabilities.</w:t>
            </w:r>
          </w:p>
          <w:p>
            <w:r>
              <w:t xml:space="preserve">If an item cannot be modified or adjusted then the item is omitted, reducing the maximum obtainable score from 30. The formula ((Actual score x 30)/Maximum obtainable score) 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Roberts R 1991a. Reliability of a standardized Mini-Mental State Examination compared with the traditional Mini-Mental state Examination. American Journal of Psychiatry, Vol. 14:102-105.</w:t>
            </w:r>
          </w:p>
          <w:p>
            <w:pPr>
              <w:spacing w:after="160"/>
            </w:pPr>
            <w:r>
              <w:rPr>
                <w:rStyle w:val="row-content-rich-text"/>
              </w:rPr>
              <w:t xml:space="preserve">Molloy D, Alemayehy E, Roberts R 1991a. The </w:t>
            </w:r>
            <w:r>
              <w:rPr>
                <w:rStyle w:val="row-content-rich-text"/>
                <w:i/>
              </w:rPr>
              <w:t xml:space="preserve">Standardised Mini-Mental State Examination</w:t>
            </w:r>
            <w:r>
              <w:rPr>
                <w:rStyle w:val="row-content-rich-text"/>
              </w:rPr>
              <w:t xml:space="preserve"> tool, Independent Hospital Pricing Authority, Australia. Viewed 4 September 2014, </w:t>
            </w:r>
            <w:hyperlink w:history="true" r:id="Rd652653508474d53">
              <w:r>
                <w:rPr>
                  <w:rStyle w:val="Hyperlink"/>
                </w:rPr>
                <w:t xml:space="preserve">http://ihpa.gov.au/internet/ihpa/publishing.nsf/Content/smmse-lp</w:t>
              </w:r>
            </w:hyperlink>
          </w:p>
          <w:p>
            <w:pPr/>
            <w:r>
              <w:rPr>
                <w:rStyle w:val="row-content-rich-text"/>
              </w:rPr>
              <w:t xml:space="preserve">Molloy D, Alemayehy E, Roberts R 1991a. The </w:t>
            </w:r>
            <w:r>
              <w:rPr>
                <w:rStyle w:val="row-content-rich-text"/>
                <w:i/>
              </w:rPr>
              <w:t xml:space="preserve">Standardised Mini-Mental State Examination </w:t>
            </w:r>
            <w:r>
              <w:rPr>
                <w:rStyle w:val="row-content-rich-text"/>
              </w:rPr>
              <w:t xml:space="preserve">guidelines, Independent Hospital Pricing Authority, Australia. Viewed 4 September 2014, </w:t>
            </w:r>
            <w:hyperlink w:history="true" r:id="R7ede86a0133143ec">
              <w:r>
                <w:rPr>
                  <w:rStyle w:val="Hyperlink"/>
                </w:rPr>
                <w:t xml:space="preserve">http://ihpa.gov.au/internet/ihpa/publishing.nsf/Content/smmse-lp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96b25bff774af7">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83de1119fa694c19">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2970e350474248">
              <w:r>
                <w:rPr>
                  <w:rStyle w:val="Hyperlink"/>
                </w:rPr>
                <w:t xml:space="preserve">Admitted subacute and non-acute hospital care DSS 2015-16</w:t>
              </w:r>
            </w:hyperlink>
          </w:p>
          <w:p>
            <w:pPr>
              <w:spacing w:before="0" w:after="0"/>
            </w:pPr>
            <w:r>
              <w:rPr>
                <w:rStyle w:val="row-content"/>
                <w:color w:val="244061"/>
              </w:rPr>
              <w:t xml:space="preserve">       </w:t>
            </w:r>
            <w:hyperlink w:history="true" r:id="Rd0fe929853b24a3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one set of SMMSE scores per Geriatric Evaluation and Management episode are required to be reported.</w:t>
            </w:r>
          </w:p>
          <w:p>
            <w:r>
              <w:rPr>
                <w:rStyle w:val="row-content"/>
              </w:rPr>
              <w:t xml:space="preserve">Only required to be reported for episodes of admitted patient care with </w:t>
            </w:r>
            <w:hyperlink w:history="true" r:id="Rd5e25d5cb2ae4715">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required to be reported when the </w:t>
            </w:r>
            <w:hyperlink w:history="true" r:id="Re8d67963482f4952">
              <w:r>
                <w:rPr>
                  <w:rStyle w:val="Hyperlink"/>
                </w:rPr>
                <w:t xml:space="preserve">Episode of admitted patient care—clinical assessment only indicator, yes/no code N</w:t>
              </w:r>
            </w:hyperlink>
            <w:r>
              <w:rPr>
                <w:rStyle w:val="row-content"/>
              </w:rPr>
              <w:t xml:space="preserve"> value is recorded as Code 2, No.</w:t>
            </w:r>
          </w:p>
          <w:p>
            <w:r>
              <w:br/>
            </w:r>
            <w:r>
              <w:br/>
            </w:r>
          </w:p>
        </w:tc>
      </w:tr>
    </w:tbl>
    <w:p/>
    <w:tbl>
      <w:tblPr>
        <w:tblStyle w:val="TableGrid"/>
        <w:tblW w:w="0" w:type="auto"/>
      </w:tblPr>
    </w:tbl>
    <w:p>
      <w:r>
        <w:br/>
      </w:r>
    </w:p>
    <w:sectPr>
      <w:footerReference xmlns:r="http://schemas.openxmlformats.org/officeDocument/2006/relationships" w:type="default" r:id="Rca1d55b8ce77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583796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1f860ae824e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1d55b8ce77485f" /><Relationship Type="http://schemas.openxmlformats.org/officeDocument/2006/relationships/header" Target="/word/header1.xml" Id="R600a312f528640c4" /><Relationship Type="http://schemas.openxmlformats.org/officeDocument/2006/relationships/settings" Target="/word/settings.xml" Id="R28a8322d057e4b15" /><Relationship Type="http://schemas.openxmlformats.org/officeDocument/2006/relationships/styles" Target="/word/styles.xml" Id="Rf38917ba42224f9b" /><Relationship Type="http://schemas.openxmlformats.org/officeDocument/2006/relationships/hyperlink" Target="https://meteor.aihw.gov.au/RegistrationAuthority/12" TargetMode="External" Id="Rfd3ad7f92cdf4f45" /><Relationship Type="http://schemas.openxmlformats.org/officeDocument/2006/relationships/hyperlink" Target="https://meteor.aihw.gov.au/content/583805" TargetMode="External" Id="Re9b073aafb6f44e9" /><Relationship Type="http://schemas.openxmlformats.org/officeDocument/2006/relationships/hyperlink" Target="https://meteor.aihw.gov.au/RegistrationAuthority/12" TargetMode="External" Id="R6533a1e282924f84" /><Relationship Type="http://schemas.openxmlformats.org/officeDocument/2006/relationships/hyperlink" Target="https://meteor.aihw.gov.au/content/268955" TargetMode="External" Id="R390de9da15834a49" /><Relationship Type="http://schemas.openxmlformats.org/officeDocument/2006/relationships/hyperlink" Target="https://meteor.aihw.gov.au/content/583803" TargetMode="External" Id="R678fb31d0e494fe8" /><Relationship Type="http://schemas.openxmlformats.org/officeDocument/2006/relationships/hyperlink" Target="https://meteor.aihw.gov.au/content/583783" TargetMode="External" Id="R49db7b572fe94c8a" /><Relationship Type="http://schemas.openxmlformats.org/officeDocument/2006/relationships/hyperlink" Target="https://meteor.aihw.gov.au/RegistrationAuthority/12" TargetMode="External" Id="R8cbdded019b5478d" /><Relationship Type="http://schemas.openxmlformats.org/officeDocument/2006/relationships/hyperlink" Target="http://ihpa.gov.au/internet/ihpa/publishing.nsf/Content/smmse-lp" TargetMode="External" Id="Rd652653508474d53" /><Relationship Type="http://schemas.openxmlformats.org/officeDocument/2006/relationships/hyperlink" Target="http://ihpa.gov.au/internet/ihpa/publishing.nsf/Content/smmse-lp" TargetMode="External" Id="R7ede86a0133143ec" /><Relationship Type="http://schemas.openxmlformats.org/officeDocument/2006/relationships/hyperlink" Target="https://meteor.aihw.gov.au/content/617812" TargetMode="External" Id="Rba96b25bff774af7" /><Relationship Type="http://schemas.openxmlformats.org/officeDocument/2006/relationships/hyperlink" Target="https://meteor.aihw.gov.au/RegistrationAuthority/12" TargetMode="External" Id="R83de1119fa694c19" /><Relationship Type="http://schemas.openxmlformats.org/officeDocument/2006/relationships/hyperlink" Target="https://meteor.aihw.gov.au/content/588098" TargetMode="External" Id="R9a2970e350474248" /><Relationship Type="http://schemas.openxmlformats.org/officeDocument/2006/relationships/hyperlink" Target="https://meteor.aihw.gov.au/RegistrationAuthority/12" TargetMode="External" Id="Rd0fe929853b24a38" /><Relationship Type="http://schemas.openxmlformats.org/officeDocument/2006/relationships/hyperlink" Target="https://meteor.aihw.gov.au/content/584408" TargetMode="External" Id="Rd5e25d5cb2ae4715" /><Relationship Type="http://schemas.openxmlformats.org/officeDocument/2006/relationships/hyperlink" Target="https://meteor.aihw.gov.au/content/550492" TargetMode="External" Id="Re8d67963482f4952" /></Relationships>
</file>

<file path=word/_rels/header1.xml.rels>&#65279;<?xml version="1.0" encoding="utf-8"?><Relationships xmlns="http://schemas.openxmlformats.org/package/2006/relationships"><Relationship Type="http://schemas.openxmlformats.org/officeDocument/2006/relationships/image" Target="/media/image.png" Id="R54c1f860ae824e44" /></Relationships>
</file>