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be9bc6891e47a9" /></Relationships>
</file>

<file path=word/document.xml><?xml version="1.0" encoding="utf-8"?>
<w:document xmlns:r="http://schemas.openxmlformats.org/officeDocument/2006/relationships" xmlns:w="http://schemas.openxmlformats.org/wordprocessingml/2006/main">
  <w:body>
    <w:p>
      <w:pPr>
        <w:pStyle w:val="Title"/>
      </w:pPr>
      <w:r>
        <w:t>Standardised Mini-Mental State Examination assessment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Standardised Mini-Mental State Examination assessment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583783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a695add710f435c">
              <w:r>
                <w:rPr>
                  <w:rStyle w:val="Hyperlink"/>
                  <w:color w:val="244061"/>
                </w:rPr>
                <w:t xml:space="preserve">Health</w:t>
              </w:r>
            </w:hyperlink>
            <w:r>
              <w:rPr>
                <w:rStyle w:val="row-content"/>
                <w:color w:val="244061"/>
              </w:rPr>
              <w:t xml:space="preserve">, Superseded 19/11/2015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the score of an item in the Standardised Mini-Mental State Examination (SMMSE) tool completed at the time of clinical assessment, covering a variety of cognitive domains. </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0</w:t>
            </w:r>
          </w:p>
        </w:tc>
        <w:tc>
          <w:tcPr>
            <w:tcBorders>
              <w:top w:val="none" w:color="000000" w:sz="0"/>
              <w:left w:val="none" w:color="000000" w:sz="0"/>
              <w:bottom w:val="none" w:color="000000" w:sz="0"/>
              <w:right w:val="none" w:color="000000" w:sz="0"/>
            </w:tcBorders>
            <w:vAlign w:val="top"/>
          </w:tcPr>
          <w:p>
            <w:r>
              <w:t xml:space="preserve">Score of 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Score of 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Score of 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Score of 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Score of 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Score of 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Not applicable - item has been omitted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r>
              <w:br/>
            </w:r>
            <w:r>
              <w:t xml:space="preserve"> </w:t>
            </w:r>
          </w:p>
        </w:tc>
        <w:tc>
          <w:tcPr>
            <w:tcBorders>
              <w:top w:val="none" w:color="000000" w:sz="0"/>
              <w:left w:val="none" w:color="000000" w:sz="0"/>
              <w:bottom w:val="none" w:color="000000" w:sz="0"/>
              <w:right w:val="none" w:color="000000" w:sz="0"/>
            </w:tcBorders>
            <w:vAlign w:val="top"/>
          </w:tcPr>
          <w:p>
            <w:r>
              <w:t xml:space="preserve">Not known/not specified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Standardised Mini-Mental State Examination (SMMSE) is a clinical assessment tool which is used as a screening test for cognitive impairment (Molloy D, Alemayehu E, Roberts R 1991a).</w:t>
            </w:r>
          </w:p>
          <w:p>
            <w:pPr>
              <w:spacing w:after="160"/>
            </w:pPr>
            <w:r>
              <w:rPr>
                <w:rStyle w:val="row-content-rich-text"/>
              </w:rPr>
              <w:t xml:space="preserve">The SMMSE consists of 12 items or questions which cover a range of cognitive domains. Each item has a maximum score:</w:t>
            </w:r>
          </w:p>
          <w:p>
            <w:pPr>
              <w:spacing w:after="160"/>
            </w:pPr>
            <w:r>
              <w:rPr>
                <w:rStyle w:val="row-content-rich-text"/>
              </w:rPr>
              <w:t xml:space="preserve"> </w:t>
            </w:r>
          </w:p>
          <w:tbl>
            <w:tblPr>
              <w:tblStyle w:val="TableGrid"/>
              <w:tblW w:w="5000" w:type="pct"/>
              <w:tblLayout w:type="autofit"/>
            </w:tblPr>
            <w:tblGrid>
              <w:gridCol/>
              <w:gridCol/>
              <w:gridCol/>
            </w:tblGrid>
            <w:tr>
              <w:trPr/>
              <w:tc>
                <w:tcPr>
                  <w:tcW w:w="1500" w:type="pct"/>
                  <w:vAlign w:val="top"/>
                </w:tcPr>
                <w:p>
                  <w:pPr/>
                  <w:r>
                    <w:rPr>
                      <w:rStyle w:val="row-content-rich-text"/>
                    </w:rPr>
                    <w:t xml:space="preserve"> </w:t>
                  </w:r>
                  <w:r>
                    <w:rPr>
                      <w:rStyle w:val="row-content-rich-text"/>
                      <w:i/>
                    </w:rPr>
                    <w:t xml:space="preserve">Question/ Item number</w:t>
                  </w:r>
                </w:p>
              </w:tc>
              <w:tc>
                <w:tcPr>
                  <w:tcW w:w="2500" w:type="pct"/>
                  <w:vAlign w:val="top"/>
                </w:tcPr>
                <w:p>
                  <w:r>
                    <w:rPr>
                      <w:i/>
                    </w:rPr>
                    <w:t xml:space="preserve">Cognitive domain</w:t>
                  </w:r>
                </w:p>
              </w:tc>
              <w:tc>
                <w:tcPr>
                  <w:tcW w:w="950" w:type="pct"/>
                  <w:vAlign w:val="top"/>
                </w:tcPr>
                <w:p>
                  <w:r>
                    <w:rPr>
                      <w:i/>
                    </w:rPr>
                    <w:t xml:space="preserve">Maximum score</w:t>
                  </w:r>
                </w:p>
              </w:tc>
            </w:tr>
            <w:tr>
              <w:trPr/>
              <w:tc>
                <w:tcPr>
                  <w:tcW w:w="1500" w:type="pct"/>
                  <w:vAlign w:val="top"/>
                </w:tcPr>
                <w:p>
                  <w:r>
                    <w:t xml:space="preserve">1</w:t>
                  </w:r>
                </w:p>
              </w:tc>
              <w:tc>
                <w:tcPr>
                  <w:tcW w:w="2500" w:type="pct"/>
                  <w:vAlign w:val="top"/>
                </w:tcPr>
                <w:p>
                  <w:r>
                    <w:t xml:space="preserve">Orientation - time</w:t>
                  </w:r>
                </w:p>
              </w:tc>
              <w:tc>
                <w:tcPr>
                  <w:tcW w:w="950" w:type="pct"/>
                  <w:vAlign w:val="top"/>
                </w:tcPr>
                <w:p>
                  <w:r>
                    <w:t xml:space="preserve">5</w:t>
                  </w:r>
                </w:p>
              </w:tc>
            </w:tr>
            <w:tr>
              <w:trPr/>
              <w:tc>
                <w:tcPr>
                  <w:tcW w:w="1500" w:type="pct"/>
                  <w:vAlign w:val="top"/>
                </w:tcPr>
                <w:p>
                  <w:r>
                    <w:t xml:space="preserve">2</w:t>
                  </w:r>
                </w:p>
              </w:tc>
              <w:tc>
                <w:tcPr>
                  <w:tcW w:w="2500" w:type="pct"/>
                  <w:vAlign w:val="top"/>
                </w:tcPr>
                <w:p>
                  <w:r>
                    <w:t xml:space="preserve">Orientation - place</w:t>
                  </w:r>
                </w:p>
              </w:tc>
              <w:tc>
                <w:tcPr>
                  <w:tcW w:w="950" w:type="pct"/>
                  <w:vAlign w:val="top"/>
                </w:tcPr>
                <w:p>
                  <w:r>
                    <w:t xml:space="preserve">5</w:t>
                  </w:r>
                </w:p>
              </w:tc>
            </w:tr>
            <w:tr>
              <w:trPr/>
              <w:tc>
                <w:tcPr>
                  <w:tcW w:w="1500" w:type="pct"/>
                  <w:vAlign w:val="top"/>
                </w:tcPr>
                <w:p>
                  <w:r>
                    <w:t xml:space="preserve">3</w:t>
                  </w:r>
                </w:p>
              </w:tc>
              <w:tc>
                <w:tcPr>
                  <w:tcW w:w="2500" w:type="pct"/>
                  <w:vAlign w:val="top"/>
                </w:tcPr>
                <w:p>
                  <w:r>
                    <w:t xml:space="preserve">Memory - immediate</w:t>
                  </w:r>
                </w:p>
              </w:tc>
              <w:tc>
                <w:tcPr>
                  <w:tcW w:w="950" w:type="pct"/>
                  <w:vAlign w:val="top"/>
                </w:tcPr>
                <w:p>
                  <w:r>
                    <w:t xml:space="preserve">3</w:t>
                  </w:r>
                </w:p>
              </w:tc>
            </w:tr>
            <w:tr>
              <w:trPr/>
              <w:tc>
                <w:tcPr>
                  <w:tcW w:w="1500" w:type="pct"/>
                  <w:vAlign w:val="top"/>
                </w:tcPr>
                <w:p>
                  <w:r>
                    <w:t xml:space="preserve">4</w:t>
                  </w:r>
                </w:p>
              </w:tc>
              <w:tc>
                <w:tcPr>
                  <w:tcW w:w="2500" w:type="pct"/>
                  <w:vAlign w:val="top"/>
                </w:tcPr>
                <w:p>
                  <w:r>
                    <w:t xml:space="preserve">Language/attention</w:t>
                  </w:r>
                </w:p>
              </w:tc>
              <w:tc>
                <w:tcPr>
                  <w:tcW w:w="950" w:type="pct"/>
                  <w:vAlign w:val="top"/>
                </w:tcPr>
                <w:p>
                  <w:r>
                    <w:t xml:space="preserve">5</w:t>
                  </w:r>
                </w:p>
              </w:tc>
            </w:tr>
            <w:tr>
              <w:trPr/>
              <w:tc>
                <w:tcPr>
                  <w:tcW w:w="1500" w:type="pct"/>
                  <w:vAlign w:val="top"/>
                </w:tcPr>
                <w:p>
                  <w:r>
                    <w:t xml:space="preserve">5</w:t>
                  </w:r>
                </w:p>
              </w:tc>
              <w:tc>
                <w:tcPr>
                  <w:tcW w:w="2500" w:type="pct"/>
                  <w:vAlign w:val="top"/>
                </w:tcPr>
                <w:p>
                  <w:r>
                    <w:t xml:space="preserve">Memory - short</w:t>
                  </w:r>
                </w:p>
              </w:tc>
              <w:tc>
                <w:tcPr>
                  <w:tcW w:w="950" w:type="pct"/>
                  <w:vAlign w:val="top"/>
                </w:tcPr>
                <w:p>
                  <w:r>
                    <w:t xml:space="preserve">3</w:t>
                  </w:r>
                </w:p>
              </w:tc>
            </w:tr>
            <w:tr>
              <w:trPr/>
              <w:tc>
                <w:tcPr>
                  <w:tcW w:w="1500" w:type="pct"/>
                  <w:vAlign w:val="top"/>
                </w:tcPr>
                <w:p>
                  <w:r>
                    <w:t xml:space="preserve">6</w:t>
                  </w:r>
                </w:p>
              </w:tc>
              <w:tc>
                <w:tcPr>
                  <w:tcW w:w="2500" w:type="pct"/>
                  <w:vAlign w:val="top"/>
                </w:tcPr>
                <w:p>
                  <w:r>
                    <w:t xml:space="preserve">Language/memory - long</w:t>
                  </w:r>
                </w:p>
              </w:tc>
              <w:tc>
                <w:tcPr>
                  <w:tcW w:w="950" w:type="pct"/>
                  <w:vAlign w:val="top"/>
                </w:tcPr>
                <w:p>
                  <w:r>
                    <w:t xml:space="preserve">1</w:t>
                  </w:r>
                </w:p>
              </w:tc>
            </w:tr>
            <w:tr>
              <w:trPr/>
              <w:tc>
                <w:tcPr>
                  <w:tcW w:w="1500" w:type="pct"/>
                  <w:vAlign w:val="top"/>
                </w:tcPr>
                <w:p>
                  <w:r>
                    <w:t xml:space="preserve">7</w:t>
                  </w:r>
                </w:p>
              </w:tc>
              <w:tc>
                <w:tcPr>
                  <w:tcW w:w="2500" w:type="pct"/>
                  <w:vAlign w:val="top"/>
                </w:tcPr>
                <w:p>
                  <w:r>
                    <w:t xml:space="preserve">Language/memory - long</w:t>
                  </w:r>
                </w:p>
              </w:tc>
              <w:tc>
                <w:tcPr>
                  <w:tcW w:w="950" w:type="pct"/>
                  <w:vAlign w:val="top"/>
                </w:tcPr>
                <w:p>
                  <w:r>
                    <w:t xml:space="preserve">1</w:t>
                  </w:r>
                </w:p>
              </w:tc>
            </w:tr>
            <w:tr>
              <w:trPr/>
              <w:tc>
                <w:tcPr>
                  <w:tcW w:w="1500" w:type="pct"/>
                  <w:vAlign w:val="top"/>
                </w:tcPr>
                <w:p>
                  <w:r>
                    <w:t xml:space="preserve">8</w:t>
                  </w:r>
                </w:p>
              </w:tc>
              <w:tc>
                <w:tcPr>
                  <w:tcW w:w="2500" w:type="pct"/>
                  <w:vAlign w:val="top"/>
                </w:tcPr>
                <w:p>
                  <w:r>
                    <w:t xml:space="preserve">Language/abstract thinking/verbal fluency</w:t>
                  </w:r>
                </w:p>
              </w:tc>
              <w:tc>
                <w:tcPr>
                  <w:tcW w:w="950" w:type="pct"/>
                  <w:vAlign w:val="top"/>
                </w:tcPr>
                <w:p>
                  <w:r>
                    <w:t xml:space="preserve">1</w:t>
                  </w:r>
                </w:p>
              </w:tc>
            </w:tr>
            <w:tr>
              <w:trPr/>
              <w:tc>
                <w:tcPr>
                  <w:tcW w:w="1500" w:type="pct"/>
                  <w:vAlign w:val="top"/>
                </w:tcPr>
                <w:p>
                  <w:r>
                    <w:t xml:space="preserve">9</w:t>
                  </w:r>
                </w:p>
              </w:tc>
              <w:tc>
                <w:tcPr>
                  <w:tcW w:w="2500" w:type="pct"/>
                  <w:vAlign w:val="top"/>
                </w:tcPr>
                <w:p>
                  <w:r>
                    <w:t xml:space="preserve">Language</w:t>
                  </w:r>
                </w:p>
              </w:tc>
              <w:tc>
                <w:tcPr>
                  <w:tcW w:w="950" w:type="pct"/>
                  <w:vAlign w:val="top"/>
                </w:tcPr>
                <w:p>
                  <w:r>
                    <w:t xml:space="preserve">1</w:t>
                  </w:r>
                </w:p>
              </w:tc>
            </w:tr>
            <w:tr>
              <w:trPr/>
              <w:tc>
                <w:tcPr>
                  <w:tcW w:w="1500" w:type="pct"/>
                  <w:vAlign w:val="top"/>
                </w:tcPr>
                <w:p>
                  <w:r>
                    <w:t xml:space="preserve">10</w:t>
                  </w:r>
                </w:p>
              </w:tc>
              <w:tc>
                <w:tcPr>
                  <w:tcW w:w="2500" w:type="pct"/>
                  <w:vAlign w:val="top"/>
                </w:tcPr>
                <w:p>
                  <w:r>
                    <w:t xml:space="preserve">Language/attention/comprehension</w:t>
                  </w:r>
                </w:p>
              </w:tc>
              <w:tc>
                <w:tcPr>
                  <w:tcW w:w="950" w:type="pct"/>
                  <w:vAlign w:val="top"/>
                </w:tcPr>
                <w:p>
                  <w:r>
                    <w:t xml:space="preserve">1</w:t>
                  </w:r>
                </w:p>
              </w:tc>
            </w:tr>
            <w:tr>
              <w:trPr/>
              <w:tc>
                <w:tcPr>
                  <w:tcW w:w="1500" w:type="pct"/>
                  <w:vAlign w:val="top"/>
                </w:tcPr>
                <w:p>
                  <w:r>
                    <w:t xml:space="preserve">11</w:t>
                  </w:r>
                </w:p>
              </w:tc>
              <w:tc>
                <w:tcPr>
                  <w:tcW w:w="2500" w:type="pct"/>
                  <w:vAlign w:val="top"/>
                </w:tcPr>
                <w:p>
                  <w:r>
                    <w:t xml:space="preserve">Attention/comprehension/follow commands/constructional</w:t>
                  </w:r>
                </w:p>
              </w:tc>
              <w:tc>
                <w:tcPr>
                  <w:tcW w:w="950" w:type="pct"/>
                  <w:vAlign w:val="top"/>
                </w:tcPr>
                <w:p>
                  <w:r>
                    <w:t xml:space="preserve">1</w:t>
                  </w:r>
                </w:p>
              </w:tc>
            </w:tr>
            <w:tr>
              <w:trPr/>
              <w:tc>
                <w:tcPr>
                  <w:tcW w:w="1500" w:type="pct"/>
                  <w:vAlign w:val="top"/>
                </w:tcPr>
                <w:p>
                  <w:r>
                    <w:t xml:space="preserve">12</w:t>
                  </w:r>
                </w:p>
              </w:tc>
              <w:tc>
                <w:tcPr>
                  <w:tcW w:w="2500" w:type="pct"/>
                  <w:vAlign w:val="top"/>
                </w:tcPr>
                <w:p>
                  <w:r>
                    <w:t xml:space="preserve">Attention/comprehension/ construction/follow commands</w:t>
                  </w:r>
                </w:p>
              </w:tc>
              <w:tc>
                <w:tcPr>
                  <w:tcW w:w="950" w:type="pct"/>
                  <w:vAlign w:val="top"/>
                </w:tcPr>
                <w:p>
                  <w:r>
                    <w:t xml:space="preserve">3</w:t>
                  </w:r>
                </w:p>
              </w:tc>
            </w:tr>
            <w:tr>
              <w:trPr/>
              <w:tc>
                <w:tcPr>
                  <w:tcW w:w="1500" w:type="pct"/>
                  <w:vAlign w:val="top"/>
                </w:tcPr>
                <w:p>
                  <w:r>
                    <w:t xml:space="preserve">Total</w:t>
                  </w:r>
                </w:p>
              </w:tc>
              <w:tc>
                <w:tcPr>
                  <w:tcW w:w="2500" w:type="pct"/>
                  <w:vAlign w:val="top"/>
                </w:tcPr>
                <w:p>
                  <w:r>
                    <w:t xml:space="preserve"> </w:t>
                  </w:r>
                </w:p>
              </w:tc>
              <w:tc>
                <w:tcPr>
                  <w:tcW w:w="950" w:type="pct"/>
                  <w:vAlign w:val="top"/>
                </w:tcPr>
                <w:p>
                  <w:r>
                    <w:t xml:space="preserve">30</w:t>
                  </w:r>
                </w:p>
              </w:tc>
            </w:tr>
          </w:tbl>
          <w:p>
            <w:r>
              <w:t xml:space="preserve"> </w:t>
            </w:r>
          </w:p>
          <w:p>
            <w:r>
              <w:t xml:space="preserve">Scores above 1 are not permissible for items 6-11.</w:t>
            </w:r>
          </w:p>
          <w:p>
            <w:r>
              <w:t xml:space="preserve">Scores above 3 are not permissible for items 3 and 12.</w:t>
            </w:r>
          </w:p>
          <w:p>
            <w:r>
              <w:t xml:space="preserve">Scores above 5 are not permissible for items 1, 2 and 4.</w:t>
            </w:r>
          </w:p>
          <w:p>
            <w:r>
              <w:t xml:space="preserve">The scores are summed for the 12 items ranging from a minimum of 0 to a maximum of 30. The SMMSE can be adjusted for non-cognitive disabilities.</w:t>
            </w:r>
          </w:p>
          <w:p>
            <w:r>
              <w:t xml:space="preserve">If an item cannot be modified or adjusted then the item is omitted, reducing the maximum obtainable score from 30. The formula ((Actual score x 30)/Maximum obtainable score) is used to readjust the score to be comparable with unadjusted scores.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Molloy D, Alemayehy E, Roberts R 1991a. Reliability of a standardized Mini-Mental State Examination compared with the traditional Mini-Mental state Examination. American Journal of Psychiatry, Vol. 14:102-105.</w:t>
            </w:r>
          </w:p>
          <w:p>
            <w:pPr>
              <w:spacing w:after="160"/>
            </w:pPr>
            <w:r>
              <w:rPr>
                <w:rStyle w:val="row-content-rich-text"/>
              </w:rPr>
              <w:t xml:space="preserve">Molloy D, Alemayehy E, Roberts R 1991a. The </w:t>
            </w:r>
            <w:r>
              <w:rPr>
                <w:rStyle w:val="row-content-rich-text"/>
                <w:i/>
              </w:rPr>
              <w:t xml:space="preserve">Standardised Mini-Mental State Examination</w:t>
            </w:r>
            <w:r>
              <w:rPr>
                <w:rStyle w:val="row-content-rich-text"/>
              </w:rPr>
              <w:t xml:space="preserve"> tool, Independent Hospital Pricing Authority, Australia. Viewed 4 September 2014, </w:t>
            </w:r>
            <w:hyperlink w:history="true" r:id="R6476be06c58a47d8">
              <w:r>
                <w:rPr>
                  <w:rStyle w:val="Hyperlink"/>
                </w:rPr>
                <w:t xml:space="preserve">http://ihpa.gov.au/internet/ihpa/publishing.nsf/Content/smmse-lp</w:t>
              </w:r>
            </w:hyperlink>
          </w:p>
          <w:p>
            <w:pPr/>
            <w:r>
              <w:rPr>
                <w:rStyle w:val="row-content-rich-text"/>
              </w:rPr>
              <w:t xml:space="preserve">Molloy D, Alemayehy E, Roberts R 1991a. The </w:t>
            </w:r>
            <w:r>
              <w:rPr>
                <w:rStyle w:val="row-content-rich-text"/>
                <w:i/>
              </w:rPr>
              <w:t xml:space="preserve">Standardised Mini-Mental State Examination </w:t>
            </w:r>
            <w:r>
              <w:rPr>
                <w:rStyle w:val="row-content-rich-text"/>
              </w:rPr>
              <w:t xml:space="preserve">guidelines, Independent Hospital Pricing Authority, Australia. Viewed 4 September 2014, </w:t>
            </w:r>
            <w:hyperlink w:history="true" r:id="R641abcd52c9f49f2">
              <w:r>
                <w:rPr>
                  <w:rStyle w:val="Hyperlink"/>
                </w:rPr>
                <w:t xml:space="preserve">http://ihpa.gov.au/internet/ihpa/publishing.nsf/Content/smmse-lp</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3fecb1bd3674738">
              <w:r>
                <w:rPr>
                  <w:rStyle w:val="Hyperlink"/>
                </w:rPr>
                <w:t xml:space="preserve">Standardised Mini-Mental State Examination item score code N</w:t>
              </w:r>
            </w:hyperlink>
          </w:p>
          <w:p>
            <w:pPr>
              <w:pStyle w:val="registration-status"/>
              <w:spacing w:before="0" w:after="0"/>
            </w:pPr>
            <w:hyperlink w:history="true" r:id="R4b243de870484a58">
              <w:r>
                <w:rPr>
                  <w:rStyle w:val="Hyperlink"/>
                  <w:color w:val="244061"/>
                </w:rPr>
                <w:t xml:space="preserve">Health</w:t>
              </w:r>
            </w:hyperlink>
            <w:r>
              <w:rPr>
                <w:rStyle w:val="row-content"/>
                <w:color w:val="244061"/>
              </w:rPr>
              <w:t xml:space="preserve">, Superseded 03/11/2016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677cac64345e43c9">
              <w:r>
                <w:rPr>
                  <w:rStyle w:val="Hyperlink"/>
                </w:rPr>
                <w:t xml:space="preserve">Person—level of cognitive ability, Standardised Mini-Mental State Examination assessment code N</w:t>
              </w:r>
            </w:hyperlink>
          </w:p>
          <w:p>
            <w:pPr>
              <w:pStyle w:val="registration-status"/>
              <w:spacing w:before="0" w:after="0"/>
            </w:pPr>
            <w:hyperlink w:history="true" r:id="R00a81957d1994786">
              <w:r>
                <w:rPr>
                  <w:rStyle w:val="Hyperlink"/>
                  <w:color w:val="244061"/>
                </w:rPr>
                <w:t xml:space="preserve">Health</w:t>
              </w:r>
            </w:hyperlink>
            <w:r>
              <w:rPr>
                <w:rStyle w:val="row-content"/>
                <w:color w:val="244061"/>
              </w:rPr>
              <w:t xml:space="preserve">, Superseded 19/11/2015</w:t>
            </w:r>
          </w:p>
          <w:p>
            <w:r>
              <w:br/>
            </w:r>
          </w:p>
        </w:tc>
      </w:tr>
    </w:tbl>
    <w:p>
      <w:r>
        <w:br/>
      </w:r>
    </w:p>
    <w:sectPr>
      <w:footerReference xmlns:r="http://schemas.openxmlformats.org/officeDocument/2006/relationships" w:type="default" r:id="Rd06f5116026c43c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583783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f066e8f7e0a447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06f5116026c43c8" /><Relationship Type="http://schemas.openxmlformats.org/officeDocument/2006/relationships/header" Target="/word/header1.xml" Id="R8c1cdb3ae1a0404a" /><Relationship Type="http://schemas.openxmlformats.org/officeDocument/2006/relationships/settings" Target="/word/settings.xml" Id="Ra70cd699c5674601" /><Relationship Type="http://schemas.openxmlformats.org/officeDocument/2006/relationships/styles" Target="/word/styles.xml" Id="R77eac1fffe2a419b" /><Relationship Type="http://schemas.openxmlformats.org/officeDocument/2006/relationships/hyperlink" Target="https://meteor.aihw.gov.au/RegistrationAuthority/12" TargetMode="External" Id="R6a695add710f435c" /><Relationship Type="http://schemas.openxmlformats.org/officeDocument/2006/relationships/hyperlink" Target="http://ihpa.gov.au/internet/ihpa/publishing.nsf/Content/smmse-lp" TargetMode="External" Id="R6476be06c58a47d8" /><Relationship Type="http://schemas.openxmlformats.org/officeDocument/2006/relationships/hyperlink" Target="http://ihpa.gov.au/internet/ihpa/publishing.nsf/Content/smmse-lp" TargetMode="External" Id="R641abcd52c9f49f2" /><Relationship Type="http://schemas.openxmlformats.org/officeDocument/2006/relationships/hyperlink" Target="https://meteor.aihw.gov.au/content/617810" TargetMode="External" Id="R13fecb1bd3674738" /><Relationship Type="http://schemas.openxmlformats.org/officeDocument/2006/relationships/hyperlink" Target="https://meteor.aihw.gov.au/RegistrationAuthority/12" TargetMode="External" Id="R4b243de870484a58" /><Relationship Type="http://schemas.openxmlformats.org/officeDocument/2006/relationships/hyperlink" Target="https://meteor.aihw.gov.au/content/583796" TargetMode="External" Id="R677cac64345e43c9" /><Relationship Type="http://schemas.openxmlformats.org/officeDocument/2006/relationships/hyperlink" Target="https://meteor.aihw.gov.au/RegistrationAuthority/12" TargetMode="External" Id="R00a81957d1994786" /></Relationships>
</file>

<file path=word/_rels/header1.xml.rels>&#65279;<?xml version="1.0" encoding="utf-8"?><Relationships xmlns="http://schemas.openxmlformats.org/package/2006/relationships"><Relationship Type="http://schemas.openxmlformats.org/officeDocument/2006/relationships/image" Target="/media/image.png" Id="R8f066e8f7e0a4473" /></Relationships>
</file>