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4c2524dc254cf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675d413c9421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cluster describes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as well as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p>
            <w:pPr>
              <w:spacing w:after="160"/>
            </w:pPr>
            <w:r>
              <w:rPr>
                <w:rStyle w:val="row-content-rich-text"/>
                <w:b/>
              </w:rPr>
              <w:t xml:space="preserve">Bringing them Home/Link Up Counsellors</w:t>
            </w:r>
          </w:p>
          <w:tbl>
            <w:tblPr>
              <w:tblStyle w:val="TableGrid"/>
              <w:tblW w:w="5000" w:type="pct"/>
              <w:tblLayout w:type="autofit"/>
            </w:tblPr>
            <w:tblGrid>
              <w:gridCol/>
              <w:gridCol/>
              <w:gridCol/>
              <w:gridCol/>
              <w:gridCol/>
            </w:tblGrid>
            <w:tr>
              <w:trPr/>
              <w:tc>
                <w:tcPr>
                  <w:tcW w:w="350" w:type="pct"/>
                  <w:vAlign w:val="top"/>
                </w:tcPr>
                <w:p>
                  <w:pPr/>
                  <w:r>
                    <w:rPr>
                      <w:rStyle w:val="row-content-rich-text"/>
                    </w:rPr>
                    <w:t xml:space="preserve"> </w:t>
                  </w:r>
                  <w:r>
                    <w:rPr>
                      <w:rStyle w:val="row-content-rich-text"/>
                      <w:b/>
                    </w:rPr>
                    <w:t xml:space="preserve">Staff</w:t>
                  </w:r>
                </w:p>
              </w:tc>
              <w:tc>
                <w:tcPr>
                  <w:tcW w:w="1500" w:type="pct"/>
                  <w:vAlign w:val="top"/>
                </w:tcPr>
                <w:p>
                  <w:r>
                    <w:rPr>
                      <w:b/>
                    </w:rPr>
                    <w:t xml:space="preserve">Indigenous status</w:t>
                  </w:r>
                </w:p>
              </w:tc>
              <w:tc>
                <w:tcPr>
                  <w:tcW w:w="350" w:type="pct"/>
                  <w:vAlign w:val="top"/>
                </w:tcPr>
                <w:p>
                  <w:r>
                    <w:rPr>
                      <w:b/>
                    </w:rPr>
                    <w:t xml:space="preserve">Gender</w:t>
                  </w:r>
                </w:p>
              </w:tc>
              <w:tc>
                <w:tcPr>
                  <w:tcW w:w="200" w:type="pct"/>
                  <w:vAlign w:val="top"/>
                </w:tcPr>
                <w:p>
                  <w:r>
                    <w:rPr>
                      <w:b/>
                    </w:rPr>
                    <w:t xml:space="preserve">FTE status</w:t>
                  </w:r>
                </w:p>
              </w:tc>
              <w:tc>
                <w:tcPr>
                  <w:tcW w:w="2400" w:type="pct"/>
                  <w:vAlign w:val="top"/>
                </w:tcPr>
                <w:p>
                  <w:r>
                    <w:rPr>
                      <w:b/>
                    </w:rPr>
                    <w:t xml:space="preserve">Qualifications</w:t>
                  </w:r>
                </w:p>
              </w:tc>
            </w:tr>
            <w:tr>
              <w:trPr/>
              <w:tc>
                <w:tcPr>
                  <w:tcW w:w="350" w:type="pct"/>
                  <w:vAlign w:val="top"/>
                </w:tcPr>
                <w:p>
                  <w:r>
                    <w:t xml:space="preserve">1.BTH</w:t>
                  </w:r>
                </w:p>
                <w:p>
                  <w:r>
                    <w:t xml:space="preserve">2.Link Up</w:t>
                  </w:r>
                </w:p>
              </w:tc>
              <w:tc>
                <w:tcPr>
                  <w:tcW w:w="1500" w:type="pct"/>
                  <w:vAlign w:val="top"/>
                </w:tcPr>
                <w:p>
                  <w:r>
                    <w:t xml:space="preserve">1. 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br/>
                  </w:r>
                  <w:r>
                    <w:t xml:space="preserve">1.BTH</w:t>
                  </w:r>
                </w:p>
                <w:p>
                  <w:r>
                    <w:t xml:space="preserve">2.Link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t xml:space="preserve">1.BTH</w:t>
                  </w:r>
                </w:p>
                <w:p>
                  <w:r>
                    <w:t xml:space="preserve">2.Link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350" w:type="pct"/>
                  <w:vAlign w:val="top"/>
                </w:tcPr>
                <w:p>
                  <w:r>
                    <w:t xml:space="preserve">1.BTH</w:t>
                  </w:r>
                </w:p>
                <w:p>
                  <w:r>
                    <w:t xml:space="preserve">2. Link Up</w:t>
                  </w:r>
                </w:p>
              </w:tc>
              <w:tc>
                <w:tcPr>
                  <w:tcW w:w="1500" w:type="pct"/>
                  <w:vAlign w:val="top"/>
                </w:tcPr>
                <w:p>
                  <w:r>
                    <w:t xml:space="preserve">1.No       </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00" w:type="pct"/>
                  <w:vAlign w:val="top"/>
                </w:tcPr>
                <w:p>
                  <w:r>
                    <w:t xml:space="preserve">NN</w:t>
                  </w:r>
                </w:p>
              </w:tc>
              <w:tc>
                <w:tcPr>
                  <w:tcW w:w="24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7f81cbf5924028">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8729731c0c48c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this collection, ‘No’ maps to Code 4, ‘Yes, Aboriginal’ maps to Code 1 and ‘Yes, Torres Strait Islander’ maps to Code 2 in the standard data element. Unknown Indigenous status maps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52a59363ec44c7">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c91bd225ee45c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number of full-time equivalent (FTE) BTH or Link Up Counsellors staff. It is obtained by adding up the FTE for each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978c42a2a564f50">
                    <w:r>
                      <w:rPr>
                        <w:rStyle w:val="Hyperlink"/>
                      </w:rPr>
                      <w:t xml:space="preserve">Person (employed)—level of highest qualification in employment field, Bringing Them Home/Link Up Counselling Program highest level relevant qualification code N</w:t>
                    </w:r>
                  </w:hyperlink>
                </w:p>
                <w:p>
                  <w:r>
                    <w:rPr>
                      <w:b/>
                      <w:i/>
                      <w:color w:val="333333"/>
                    </w:rPr>
                    <w:t xml:space="preserve">DSS specific information:</w:t>
                  </w:r>
                </w:p>
                <w:p>
                  <w:r>
                    <w:t xml:space="preserve">This data element is used to determine the highest level qualification that is relevant to the Bringing Them Home or Link Up Counselling role.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81cf825234c41f9">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the BTH or Link Up Counsellor having attained a qualification relevant to their work.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b496484526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b0d418ada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4964845264525" /><Relationship Type="http://schemas.openxmlformats.org/officeDocument/2006/relationships/header" Target="/word/header1.xml" Id="R8c1f342c8b614517" /><Relationship Type="http://schemas.openxmlformats.org/officeDocument/2006/relationships/settings" Target="/word/settings.xml" Id="R6ea9ba677ed9477e" /><Relationship Type="http://schemas.openxmlformats.org/officeDocument/2006/relationships/styles" Target="/word/styles.xml" Id="Rfef9586f54584082" /><Relationship Type="http://schemas.openxmlformats.org/officeDocument/2006/relationships/hyperlink" Target="https://meteor.aihw.gov.au/RegistrationAuthority/6" TargetMode="External" Id="Rec5675d413c94217" /><Relationship Type="http://schemas.openxmlformats.org/officeDocument/2006/relationships/numbering" Target="/word/numbering.xml" Id="R5d3dd2aa2a0b4bd8" /><Relationship Type="http://schemas.openxmlformats.org/officeDocument/2006/relationships/hyperlink" Target="https://meteor.aihw.gov.au/content/578541" TargetMode="External" Id="Ra07f81cbf5924028" /><Relationship Type="http://schemas.openxmlformats.org/officeDocument/2006/relationships/hyperlink" Target="https://meteor.aihw.gov.au/content/291036" TargetMode="External" Id="R528729731c0c48c6" /><Relationship Type="http://schemas.openxmlformats.org/officeDocument/2006/relationships/hyperlink" Target="https://meteor.aihw.gov.au/content/521492" TargetMode="External" Id="R8452a59363ec44c7" /><Relationship Type="http://schemas.openxmlformats.org/officeDocument/2006/relationships/hyperlink" Target="https://meteor.aihw.gov.au/content/270213" TargetMode="External" Id="R6cc91bd225ee45c4" /><Relationship Type="http://schemas.openxmlformats.org/officeDocument/2006/relationships/hyperlink" Target="https://meteor.aihw.gov.au/content/578406" TargetMode="External" Id="R8978c42a2a564f50" /><Relationship Type="http://schemas.openxmlformats.org/officeDocument/2006/relationships/hyperlink" Target="https://meteor.aihw.gov.au/content/578608" TargetMode="External" Id="R781cf825234c41f9" /></Relationships>
</file>

<file path=word/_rels/header1.xml.rels>&#65279;<?xml version="1.0" encoding="utf-8"?><Relationships xmlns="http://schemas.openxmlformats.org/package/2006/relationships"><Relationship Type="http://schemas.openxmlformats.org/officeDocument/2006/relationships/image" Target="/media/image.png" Id="R19cb0d418ada4d8d" /></Relationships>
</file>