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685e2e0ccd4c14"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c7e8ed99624df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49f0a96ae046a1">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9abe94996043e3">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(HoNOS) is used to rate adult mental health service users. Together, the scales rate various aspects of mental and social health. </w:t>
            </w:r>
          </w:p>
          <w:p>
            <w:pPr>
              <w:spacing w:after="160"/>
            </w:pPr>
            <w:r>
              <w:rPr>
                <w:rStyle w:val="row-content-rich-text"/>
              </w:rPr>
              <w:t xml:space="preserve">HoNOS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 </w:t>
            </w:r>
          </w:p>
          <w:p>
            <w:pPr/>
            <w:r>
              <w:rPr>
                <w:rStyle w:val="row-content-rich-text"/>
              </w:rPr>
              <w:t xml:space="preserve">The sum of the individual scores of each of the scales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of the Nation Outcome Scales (HoNOS), Royal College of Psychiatrists 1996. Viewed 17 October 2013,</w:t>
            </w:r>
          </w:p>
          <w:p>
            <w:hyperlink w:history="true" r:id="R58bf3e18ae1c4e6d">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17695ea168470f">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0479be7a19b641a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ca8f142e25d420f">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43f326e885044662">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8c0c310448734410">
              <w:r>
                <w:rPr>
                  <w:rStyle w:val="Hyperlink"/>
                  <w:color w:val="244061"/>
                </w:rPr>
                <w:t xml:space="preserve">Independent Hospital Pricing Authority</w:t>
              </w:r>
            </w:hyperlink>
            <w:r>
              <w:rPr>
                <w:rStyle w:val="row-content"/>
                <w:color w:val="244061"/>
              </w:rPr>
              <w:t xml:space="preserve">, Standard 12/11/2015</w:t>
            </w:r>
          </w:p>
          <w:p>
            <w:pPr>
              <w:spacing w:before="0" w:after="0"/>
            </w:pPr>
            <w:r>
              <w:rPr>
                <w:rStyle w:val="row-content"/>
                <w:color w:val="244061"/>
              </w:rPr>
              <w:t xml:space="preserve">       </w:t>
            </w:r>
            <w:hyperlink w:history="true" r:id="R422ba92b96104bfb">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98b41bcca71d471d">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982f129a76b84fd2">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ef1ca47e2046fd">
              <w:r>
                <w:rPr>
                  <w:rStyle w:val="Hyperlink"/>
                </w:rPr>
                <w:t xml:space="preserve">Activity based funding: Mental health care DSS 2016-17</w:t>
              </w:r>
            </w:hyperlink>
          </w:p>
          <w:p>
            <w:pPr>
              <w:spacing w:before="0" w:after="0"/>
            </w:pPr>
            <w:r>
              <w:rPr>
                <w:rStyle w:val="row-content"/>
                <w:color w:val="244061"/>
              </w:rPr>
              <w:t xml:space="preserve">       </w:t>
            </w:r>
            <w:hyperlink w:history="true" r:id="R79f8386b47b4433f">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33dbd3c5dff74ccc">
              <w:r>
                <w:rPr>
                  <w:rStyle w:val="Hyperlink"/>
                </w:rPr>
                <w:t xml:space="preserve">Admitted patient mental health care cluster</w:t>
              </w:r>
            </w:hyperlink>
          </w:p>
          <w:p>
            <w:pPr>
              <w:spacing w:before="0" w:after="0"/>
            </w:pPr>
            <w:r>
              <w:rPr>
                <w:rStyle w:val="row-content"/>
                <w:color w:val="244061"/>
              </w:rPr>
              <w:t xml:space="preserve">       </w:t>
            </w:r>
            <w:hyperlink w:history="true" r:id="Rd643d49af19d4600">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HoNOS at admission and separation is mandatory for admitted patients in psychiatric hospitals or designated psychiatric units in acute hospitals. Reporting is optional for admitted patients in non-designated hospitals or units.</w:t>
            </w:r>
          </w:p>
          <w:p>
            <w:r>
              <w:rPr>
                <w:rStyle w:val="row-content"/>
              </w:rPr>
              <w:t xml:space="preserve">The HoNOS should only be reported for patients aged between 18 and 64 years.</w:t>
            </w:r>
          </w:p>
          <w:p>
            <w:r>
              <w:rPr>
                <w:rStyle w:val="row-content"/>
              </w:rPr>
              <w:t xml:space="preserve">The HoNOS discharge rating is not required if the episode of admitted care had a length of stay of 3 days or less.</w:t>
            </w:r>
          </w:p>
          <w:p>
            <w:r>
              <w:br/>
            </w:r>
            <w:r>
              <w:br/>
            </w:r>
            <w:hyperlink w:history="true" r:id="Rb08a95c1c35847e0">
              <w:r>
                <w:rPr>
                  <w:rStyle w:val="Hyperlink"/>
                </w:rPr>
                <w:t xml:space="preserve">Ambulatory patient mental health care cluster</w:t>
              </w:r>
            </w:hyperlink>
          </w:p>
          <w:p>
            <w:pPr>
              <w:spacing w:before="0" w:after="0"/>
            </w:pPr>
            <w:r>
              <w:rPr>
                <w:rStyle w:val="row-content"/>
                <w:color w:val="244061"/>
              </w:rPr>
              <w:t xml:space="preserve">       </w:t>
            </w:r>
            <w:hyperlink w:history="true" r:id="R7d5b2bc958de48d7">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HoNOS should only be reported for patients aged between 18 and 64 years.</w:t>
            </w:r>
          </w:p>
          <w:p>
            <w:r>
              <w:br/>
            </w:r>
            <w:r>
              <w:rPr>
                <w:rStyle w:val="row-content"/>
                <w:b/>
                <w:i/>
              </w:rPr>
              <w:t xml:space="preserve">DSS specific information: </w:t>
            </w:r>
          </w:p>
          <w:p>
            <w:r>
              <w:rPr>
                <w:rStyle w:val="row-content"/>
              </w:rPr>
              <w:t xml:space="preserve">The HoNOS for the first service contact may be derived from the HoNOSCA admission rating submitted for the patient's ambulatory care episode as part of the National Outcomes and Casemix Collection reporting requirements.</w:t>
            </w:r>
          </w:p>
          <w:p>
            <w:r>
              <w:rPr>
                <w:rStyle w:val="row-content"/>
              </w:rPr>
              <w:t xml:space="preserve">The HoNOS for the last service contact may be derived from the HoNOSCA discharge rating submitted for the patient's ambulatory care episode as part of the National Outcomes and Casemix Collection reporting requirements.</w:t>
            </w:r>
          </w:p>
          <w:p>
            <w:r>
              <w:br/>
            </w:r>
            <w:r>
              <w:br/>
            </w:r>
            <w:hyperlink w:history="true" r:id="R716987703309443f">
              <w:r>
                <w:rPr>
                  <w:rStyle w:val="Hyperlink"/>
                </w:rPr>
                <w:t xml:space="preserve">Residential patient mental health care cluster</w:t>
              </w:r>
            </w:hyperlink>
          </w:p>
          <w:p>
            <w:pPr>
              <w:spacing w:before="0" w:after="0"/>
            </w:pPr>
            <w:r>
              <w:rPr>
                <w:rStyle w:val="row-content"/>
                <w:color w:val="244061"/>
              </w:rPr>
              <w:t xml:space="preserve">       </w:t>
            </w:r>
            <w:hyperlink w:history="true" r:id="R5506ac799b9b456e">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HoNOS should only be reported for patients aged between 18 and 64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fd31567d83e4960">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fcdad2c8db054985">
              <w:r>
                <w:rPr>
                  <w:rStyle w:val="Hyperlink"/>
                  <w:color w:val="244061"/>
                </w:rPr>
                <w:t xml:space="preserve">Health</w:t>
              </w:r>
            </w:hyperlink>
            <w:r>
              <w:rPr>
                <w:rStyle w:val="row-content"/>
                <w:color w:val="244061"/>
              </w:rPr>
              <w:t xml:space="preserve">, Superseded 11/05/2016</w:t>
            </w:r>
          </w:p>
          <w:p>
            <w:r>
              <w:br/>
            </w:r>
            <w:hyperlink w:history="true" r:id="R8469c3f8d4af49f4">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2d0795dc48f34cab">
              <w:r>
                <w:rPr>
                  <w:rStyle w:val="Hyperlink"/>
                  <w:color w:val="244061"/>
                </w:rPr>
                <w:t xml:space="preserve">Health</w:t>
              </w:r>
            </w:hyperlink>
            <w:r>
              <w:rPr>
                <w:rStyle w:val="row-content"/>
                <w:color w:val="244061"/>
              </w:rPr>
              <w:t xml:space="preserve">, Superseded 14/06/2017</w:t>
            </w:r>
          </w:p>
          <w:p>
            <w:r>
              <w:br/>
            </w:r>
          </w:p>
        </w:tc>
      </w:tr>
    </w:tbl>
    <w:p/>
    <w:tbl>
      <w:tblPr>
        <w:tblStyle w:val="TableGrid"/>
        <w:tblW w:w="0" w:type="auto"/>
      </w:tblPr>
    </w:tbl>
    <w:p>
      <w:r>
        <w:br/>
      </w:r>
    </w:p>
    <w:sectPr>
      <w:footerReference xmlns:r="http://schemas.openxmlformats.org/officeDocument/2006/relationships" w:type="default" r:id="R64ec04e2db12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bb0eb4dc0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c04e2db124f82" /><Relationship Type="http://schemas.openxmlformats.org/officeDocument/2006/relationships/header" Target="/word/header1.xml" Id="Rd1596649340f456f" /><Relationship Type="http://schemas.openxmlformats.org/officeDocument/2006/relationships/settings" Target="/word/settings.xml" Id="R9197905029d1481c" /><Relationship Type="http://schemas.openxmlformats.org/officeDocument/2006/relationships/styles" Target="/word/styles.xml" Id="R2f33f797af8b482c" /><Relationship Type="http://schemas.openxmlformats.org/officeDocument/2006/relationships/hyperlink" Target="https://meteor.aihw.gov.au/RegistrationAuthority/3" TargetMode="External" Id="R68c7e8ed99624df1" /><Relationship Type="http://schemas.openxmlformats.org/officeDocument/2006/relationships/hyperlink" Target="https://meteor.aihw.gov.au/content/539187" TargetMode="External" Id="R4849f0a96ae046a1" /><Relationship Type="http://schemas.openxmlformats.org/officeDocument/2006/relationships/hyperlink" Target="https://meteor.aihw.gov.au/content/575161" TargetMode="External" Id="Re39abe94996043e3" /><Relationship Type="http://schemas.openxmlformats.org/officeDocument/2006/relationships/numbering" Target="/word/numbering.xml" Id="R8fd702f28aaa4f63" /><Relationship Type="http://schemas.openxmlformats.org/officeDocument/2006/relationships/hyperlink" Target="http://www.rcpsych.ac.uk/training/honos/whatishonos.aspx" TargetMode="External" Id="R58bf3e18ae1c4e6d" /><Relationship Type="http://schemas.openxmlformats.org/officeDocument/2006/relationships/hyperlink" Target="https://meteor.aihw.gov.au/content/641215" TargetMode="External" Id="R7917695ea168470f" /><Relationship Type="http://schemas.openxmlformats.org/officeDocument/2006/relationships/hyperlink" Target="https://meteor.aihw.gov.au/RegistrationAuthority/12" TargetMode="External" Id="R0479be7a19b641a0" /><Relationship Type="http://schemas.openxmlformats.org/officeDocument/2006/relationships/hyperlink" Target="https://meteor.aihw.gov.au/content/449363" TargetMode="External" Id="Raca8f142e25d420f" /><Relationship Type="http://schemas.openxmlformats.org/officeDocument/2006/relationships/hyperlink" Target="https://meteor.aihw.gov.au/RegistrationAuthority/12" TargetMode="External" Id="R43f326e885044662" /><Relationship Type="http://schemas.openxmlformats.org/officeDocument/2006/relationships/hyperlink" Target="https://meteor.aihw.gov.au/RegistrationAuthority/3" TargetMode="External" Id="R8c0c310448734410" /><Relationship Type="http://schemas.openxmlformats.org/officeDocument/2006/relationships/hyperlink" Target="https://meteor.aihw.gov.au/RegistrationAuthority/15" TargetMode="External" Id="R422ba92b96104bfb" /><Relationship Type="http://schemas.openxmlformats.org/officeDocument/2006/relationships/hyperlink" Target="https://meteor.aihw.gov.au/content/575043" TargetMode="External" Id="R98b41bcca71d471d" /><Relationship Type="http://schemas.openxmlformats.org/officeDocument/2006/relationships/hyperlink" Target="https://meteor.aihw.gov.au/RegistrationAuthority/3" TargetMode="External" Id="R982f129a76b84fd2" /><Relationship Type="http://schemas.openxmlformats.org/officeDocument/2006/relationships/hyperlink" Target="https://meteor.aihw.gov.au/content/613880" TargetMode="External" Id="Rb1ef1ca47e2046fd" /><Relationship Type="http://schemas.openxmlformats.org/officeDocument/2006/relationships/hyperlink" Target="https://meteor.aihw.gov.au/RegistrationAuthority/3" TargetMode="External" Id="R79f8386b47b4433f" /><Relationship Type="http://schemas.openxmlformats.org/officeDocument/2006/relationships/hyperlink" Target="https://meteor.aihw.gov.au/content/575027" TargetMode="External" Id="R33dbd3c5dff74ccc" /><Relationship Type="http://schemas.openxmlformats.org/officeDocument/2006/relationships/hyperlink" Target="https://meteor.aihw.gov.au/RegistrationAuthority/3" TargetMode="External" Id="Rd643d49af19d4600" /><Relationship Type="http://schemas.openxmlformats.org/officeDocument/2006/relationships/hyperlink" Target="https://meteor.aihw.gov.au/content/575033" TargetMode="External" Id="Rb08a95c1c35847e0" /><Relationship Type="http://schemas.openxmlformats.org/officeDocument/2006/relationships/hyperlink" Target="https://meteor.aihw.gov.au/RegistrationAuthority/3" TargetMode="External" Id="R7d5b2bc958de48d7" /><Relationship Type="http://schemas.openxmlformats.org/officeDocument/2006/relationships/hyperlink" Target="https://meteor.aihw.gov.au/content/575036" TargetMode="External" Id="R716987703309443f" /><Relationship Type="http://schemas.openxmlformats.org/officeDocument/2006/relationships/hyperlink" Target="https://meteor.aihw.gov.au/RegistrationAuthority/3" TargetMode="External" Id="R5506ac799b9b456e" /><Relationship Type="http://schemas.openxmlformats.org/officeDocument/2006/relationships/hyperlink" Target="https://meteor.aihw.gov.au/content/584821" TargetMode="External" Id="R5fd31567d83e4960" /><Relationship Type="http://schemas.openxmlformats.org/officeDocument/2006/relationships/hyperlink" Target="https://meteor.aihw.gov.au/RegistrationAuthority/12" TargetMode="External" Id="Rfcdad2c8db054985" /><Relationship Type="http://schemas.openxmlformats.org/officeDocument/2006/relationships/hyperlink" Target="https://meteor.aihw.gov.au/content/630358" TargetMode="External" Id="R8469c3f8d4af49f4" /><Relationship Type="http://schemas.openxmlformats.org/officeDocument/2006/relationships/hyperlink" Target="https://meteor.aihw.gov.au/RegistrationAuthority/12" TargetMode="External" Id="R2d0795dc48f34cab" /></Relationships>
</file>

<file path=word/_rels/header1.xml.rels>&#65279;<?xml version="1.0" encoding="utf-8"?><Relationships xmlns="http://schemas.openxmlformats.org/package/2006/relationships"><Relationship Type="http://schemas.openxmlformats.org/officeDocument/2006/relationships/image" Target="/media/image.png" Id="Rc07bb0eb4dc04864" /></Relationships>
</file>