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9a38bbb8af4015" /></Relationships>
</file>

<file path=word/document.xml><?xml version="1.0" encoding="utf-8"?>
<w:document xmlns:r="http://schemas.openxmlformats.org/officeDocument/2006/relationships" xmlns:w="http://schemas.openxmlformats.org/wordprocessingml/2006/main">
  <w:body>
    <w:p>
      <w:pPr>
        <w:pStyle w:val="Title"/>
      </w:pPr>
      <w:r>
        <w:t>Episode of care—psychosocial complications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care—psychosocial complications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Psychosocial complications indicator (FIHS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c70430f8b84f24">
              <w:r>
                <w:rPr>
                  <w:rStyle w:val="Hyperlink"/>
                  <w:color w:val="244061"/>
                </w:rPr>
                <w:t xml:space="preserve">Independent Hospital Pricing Authority</w:t>
              </w:r>
            </w:hyperlink>
            <w:r>
              <w:rPr>
                <w:rStyle w:val="row-content"/>
                <w:color w:val="244061"/>
              </w:rPr>
              <w:t xml:space="preserve">, Standard 17/03/2016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has a negative effect on an individual's psychological health and requires additional clinical input during an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51c51cdc1b45d7">
              <w:r>
                <w:rPr>
                  <w:rStyle w:val="Hyperlink"/>
                </w:rPr>
                <w:t xml:space="preserve">Episode of care—psychosocial complications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bcfea5cf354dcf">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the presence of one or more factors, as listed in the Factors Influencing Health Status (FIHS) chapter in the International Classification of Diseases and Related Health Problems-10th Revision-Australian Modification (ICD-10-AM).</w:t>
            </w:r>
          </w:p>
          <w:p>
            <w:pPr>
              <w:spacing w:after="160"/>
            </w:pPr>
            <w:r>
              <w:rPr>
                <w:rStyle w:val="row-content-rich-text"/>
              </w:rPr>
              <w:t xml:space="preserve">CODE 2   No</w:t>
            </w:r>
          </w:p>
          <w:p>
            <w:pPr>
              <w:spacing w:after="160"/>
            </w:pPr>
            <w:r>
              <w:rPr>
                <w:rStyle w:val="row-content-rich-text"/>
              </w:rPr>
              <w:t xml:space="preserve">This code is used to indicate that there were no present factors, as listed in the FIHS chapter in ICD-10-AM.</w:t>
            </w:r>
          </w:p>
          <w:p>
            <w:pPr>
              <w:spacing w:after="160"/>
            </w:pPr>
            <w:r>
              <w:rPr>
                <w:rStyle w:val="row-content-rich-text"/>
              </w:rPr>
              <w:t xml:space="preserve">CODE 8   Unknown</w:t>
            </w:r>
          </w:p>
          <w:p>
            <w:pPr>
              <w:spacing w:after="160"/>
            </w:pPr>
            <w:r>
              <w:rPr>
                <w:rStyle w:val="row-content-rich-text"/>
              </w:rPr>
              <w:t xml:space="preserve">This code is used to indicate that it was not possible to determine the presence of factors, as listed in the FIHS chapter in ICD-10-AM.</w:t>
            </w:r>
          </w:p>
          <w:p>
            <w:pPr>
              <w:spacing w:after="160"/>
            </w:pPr>
            <w:r>
              <w:rPr>
                <w:rStyle w:val="row-content-rich-text"/>
              </w:rPr>
              <w:t xml:space="preserve">CODE 9   Not stated/inadequately described</w:t>
            </w:r>
          </w:p>
          <w:p>
            <w:pPr/>
            <w:r>
              <w:rPr>
                <w:rStyle w:val="row-content-rich-text"/>
              </w:rPr>
              <w:t xml:space="preserve">This code is used to indicate that the presence of any factors, as listed in the FIHS chapter in the ICD-10-AM, was not stated or was missing.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FIHS code set is derived from the Factors Influencing Health Status chapter in ICD-10-AM.</w:t>
            </w:r>
          </w:p>
          <w:p>
            <w:pPr>
              <w:spacing w:after="160"/>
            </w:pPr>
            <w:r>
              <w:rPr>
                <w:rStyle w:val="row-content-rich-text"/>
              </w:rPr>
              <w:t xml:space="preserve">The FIHS contain seven categories:</w:t>
            </w:r>
          </w:p>
          <w:p>
            <w:pPr>
              <w:pStyle w:val="ListParagraph"/>
              <w:numPr>
                <w:ilvl w:val="0"/>
                <w:numId w:val="2"/>
              </w:numPr>
            </w:pPr>
            <w:r>
              <w:rPr>
                <w:rStyle w:val="row-content-rich-text"/>
              </w:rPr>
              <w:t xml:space="preserve">Maltreatment syndromes</w:t>
            </w:r>
          </w:p>
          <w:p>
            <w:pPr>
              <w:pStyle w:val="ListParagraph"/>
              <w:numPr>
                <w:ilvl w:val="0"/>
                <w:numId w:val="2"/>
              </w:numPr>
            </w:pPr>
            <w:r>
              <w:rPr>
                <w:rStyle w:val="row-content-rich-text"/>
              </w:rPr>
              <w:t xml:space="preserve">Problems related to negative life events in childhood</w:t>
            </w:r>
          </w:p>
          <w:p>
            <w:pPr>
              <w:pStyle w:val="ListParagraph"/>
              <w:numPr>
                <w:ilvl w:val="0"/>
                <w:numId w:val="2"/>
              </w:numPr>
            </w:pPr>
            <w:r>
              <w:rPr>
                <w:rStyle w:val="row-content-rich-text"/>
              </w:rPr>
              <w:t xml:space="preserve">Problems related to upbringing</w:t>
            </w:r>
          </w:p>
          <w:p>
            <w:pPr>
              <w:pStyle w:val="ListParagraph"/>
              <w:numPr>
                <w:ilvl w:val="0"/>
                <w:numId w:val="2"/>
              </w:numPr>
            </w:pPr>
            <w:r>
              <w:rPr>
                <w:rStyle w:val="row-content-rich-text"/>
              </w:rPr>
              <w:t xml:space="preserve">Problems related to primary support group, including family circumstances</w:t>
            </w:r>
          </w:p>
          <w:p>
            <w:pPr>
              <w:pStyle w:val="ListParagraph"/>
              <w:numPr>
                <w:ilvl w:val="0"/>
                <w:numId w:val="2"/>
              </w:numPr>
            </w:pPr>
            <w:r>
              <w:rPr>
                <w:rStyle w:val="row-content-rich-text"/>
              </w:rPr>
              <w:t xml:space="preserve">Problems related to social environment</w:t>
            </w:r>
          </w:p>
          <w:p>
            <w:pPr>
              <w:pStyle w:val="ListParagraph"/>
              <w:numPr>
                <w:ilvl w:val="0"/>
                <w:numId w:val="2"/>
              </w:numPr>
            </w:pPr>
            <w:r>
              <w:rPr>
                <w:rStyle w:val="row-content-rich-text"/>
              </w:rPr>
              <w:t xml:space="preserve">Problems related to certain psychosocial circumstances</w:t>
            </w:r>
          </w:p>
          <w:p>
            <w:pPr>
              <w:pStyle w:val="ListParagraph"/>
              <w:numPr>
                <w:ilvl w:val="0"/>
                <w:numId w:val="2"/>
              </w:numPr>
            </w:pPr>
            <w:r>
              <w:rPr>
                <w:rStyle w:val="row-content-rich-text"/>
              </w:rPr>
              <w:t xml:space="preserve">Problems related to other psychosocial circumstances </w:t>
            </w:r>
          </w:p>
          <w:p>
            <w:pPr/>
            <w:r>
              <w:rPr>
                <w:rStyle w:val="row-content-rich-text"/>
              </w:rPr>
              <w:t xml:space="preserve">The FIHS is a simple checklist used to indicate whether one or more psychosocial factors are present during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22 May 2014,</w:t>
            </w:r>
          </w:p>
          <w:p>
            <w:hyperlink w:history="true" r:id="R0df047f28da24b8a">
              <w:r>
                <w:rPr>
                  <w:rStyle w:val="Hyperlink"/>
                </w:rPr>
                <w:t xml:space="preserve">http://amhocn.org/static/files/assets/7ceb5dda/</w:t>
              </w:r>
              <w:r>
                <w:br/>
              </w:r>
              <w:r>
                <w:rPr>
                  <w:rStyle w:val="row-content-rich-text"/>
                </w:rPr>
                <w:t xml:space="preserve">Child_Adolescent_Manual.pdf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9a5167d6ab43c2">
              <w:r>
                <w:rPr>
                  <w:rStyle w:val="Hyperlink"/>
                </w:rPr>
                <w:t xml:space="preserve">Episode of care—FIHS psychosocial complications indicator, yes/no/unknown/not stated/inadequately described code N</w:t>
              </w:r>
            </w:hyperlink>
          </w:p>
          <w:p>
            <w:pPr>
              <w:spacing w:before="0" w:after="0"/>
            </w:pPr>
            <w:r>
              <w:rPr>
                <w:rStyle w:val="row-content"/>
                <w:color w:val="244061"/>
              </w:rPr>
              <w:t xml:space="preserve">       </w:t>
            </w:r>
            <w:hyperlink w:history="true" r:id="Re4a6f3d51b0b472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a194d5e63c4016">
              <w:r>
                <w:rPr>
                  <w:rStyle w:val="Hyperlink"/>
                </w:rPr>
                <w:t xml:space="preserve">Activity based funding: Mental health care DSS 2016-17</w:t>
              </w:r>
            </w:hyperlink>
          </w:p>
          <w:p>
            <w:pPr>
              <w:spacing w:before="0" w:after="0"/>
            </w:pPr>
            <w:r>
              <w:rPr>
                <w:rStyle w:val="row-content"/>
                <w:color w:val="244061"/>
              </w:rPr>
              <w:t xml:space="preserve">       </w:t>
            </w:r>
            <w:hyperlink w:history="true" r:id="Rbb599f38bfd645fe">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  </w:t>
            </w:r>
          </w:p>
          <w:p>
            <w:r>
              <w:rPr>
                <w:rStyle w:val="row-content"/>
              </w:rPr>
              <w:t xml:space="preserve">If an episode of mental health care only contains one phase of care, then the FIHS is required to be reported at the end of the phase of care. </w:t>
            </w:r>
          </w:p>
          <w:p>
            <w:r>
              <w:rPr>
                <w:rStyle w:val="row-content"/>
              </w:rPr>
              <w:t xml:space="preserve">FIHS should only be reported for patients aged 17 years and under.</w:t>
            </w:r>
          </w:p>
          <w:p>
            <w:r>
              <w:br/>
            </w:r>
            <w:r>
              <w:br/>
            </w:r>
            <w:hyperlink w:history="true" r:id="R2a33b56b2f484d64">
              <w:r>
                <w:rPr>
                  <w:rStyle w:val="Hyperlink"/>
                </w:rPr>
                <w:t xml:space="preserve">Admitted patient mental health care cluster</w:t>
              </w:r>
            </w:hyperlink>
          </w:p>
          <w:p>
            <w:pPr>
              <w:spacing w:before="0" w:after="0"/>
            </w:pPr>
            <w:r>
              <w:rPr>
                <w:rStyle w:val="row-content"/>
                <w:color w:val="244061"/>
              </w:rPr>
              <w:t xml:space="preserve">       </w:t>
            </w:r>
            <w:hyperlink w:history="true" r:id="R42be8773199d44e5">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FIHS at separation is mandatory for admitted patients in psychiatric hospitals or designated psychiatric units in acute hospitals. Reporting is optional for admitted patients in non-designated hospitals or units.</w:t>
            </w:r>
          </w:p>
          <w:p>
            <w:r>
              <w:rPr>
                <w:rStyle w:val="row-content"/>
              </w:rPr>
              <w:t xml:space="preserve">FIHS should only be reported for patients aged 17 years and under.</w:t>
            </w:r>
          </w:p>
          <w:p>
            <w:r>
              <w:br/>
            </w:r>
            <w:r>
              <w:br/>
            </w:r>
            <w:hyperlink w:history="true" r:id="R38e0192c0b3b48d9">
              <w:r>
                <w:rPr>
                  <w:rStyle w:val="Hyperlink"/>
                </w:rPr>
                <w:t xml:space="preserve">Ambulatory patient mental health care cluster</w:t>
              </w:r>
            </w:hyperlink>
          </w:p>
          <w:p>
            <w:pPr>
              <w:spacing w:before="0" w:after="0"/>
            </w:pPr>
            <w:r>
              <w:rPr>
                <w:rStyle w:val="row-content"/>
                <w:color w:val="244061"/>
              </w:rPr>
              <w:t xml:space="preserve">       </w:t>
            </w:r>
            <w:hyperlink w:history="true" r:id="Rd55bbfa68f2c44ca">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Reporting of FIHS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rPr>
                <w:rStyle w:val="row-content"/>
              </w:rPr>
              <w:t xml:space="preserve">FIHS should only be reported for patients aged 17 years and under.</w:t>
            </w:r>
          </w:p>
          <w:p>
            <w:r>
              <w:br/>
            </w:r>
            <w:r>
              <w:rPr>
                <w:rStyle w:val="row-content"/>
                <w:b/>
                <w:i/>
              </w:rPr>
              <w:t xml:space="preserve">DSS specific information: </w:t>
            </w:r>
          </w:p>
          <w:p>
            <w:r>
              <w:rPr>
                <w:rStyle w:val="row-content"/>
              </w:rPr>
              <w:t xml:space="preserve">The FIHS for the last service contact may be derived from the FIHS discharge value submitted for the patient's ambulatory care episode as part of the National Outcomes and Casemix Collection reporting requirements.</w:t>
            </w:r>
          </w:p>
          <w:p>
            <w:r>
              <w:br/>
            </w:r>
            <w:r>
              <w:br/>
            </w:r>
            <w:hyperlink w:history="true" r:id="Re09067ba085d455d">
              <w:r>
                <w:rPr>
                  <w:rStyle w:val="Hyperlink"/>
                </w:rPr>
                <w:t xml:space="preserve">Residential patient mental health care cluster</w:t>
              </w:r>
            </w:hyperlink>
          </w:p>
          <w:p>
            <w:pPr>
              <w:spacing w:before="0" w:after="0"/>
            </w:pPr>
            <w:r>
              <w:rPr>
                <w:rStyle w:val="row-content"/>
                <w:color w:val="244061"/>
              </w:rPr>
              <w:t xml:space="preserve">       </w:t>
            </w:r>
            <w:hyperlink w:history="true" r:id="R5cea2a2728cc4167">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FIHS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FIHS should only be reported for patients aged 17 years and under.</w:t>
            </w:r>
          </w:p>
          <w:p>
            <w:r>
              <w:br/>
            </w:r>
            <w:r>
              <w:br/>
            </w:r>
          </w:p>
        </w:tc>
      </w:tr>
    </w:tbl>
    <w:p/>
    <w:tbl>
      <w:tblPr>
        <w:tblStyle w:val="TableGrid"/>
        <w:tblW w:w="0" w:type="auto"/>
      </w:tblPr>
    </w:tbl>
    <w:p>
      <w:r>
        <w:br/>
      </w:r>
    </w:p>
    <w:sectPr>
      <w:footerReference xmlns:r="http://schemas.openxmlformats.org/officeDocument/2006/relationships" w:type="default" r:id="R528a587e2ce8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e8755aea5f48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a587e2ce84f98" /><Relationship Type="http://schemas.openxmlformats.org/officeDocument/2006/relationships/header" Target="/word/header1.xml" Id="R407db4622b1a400f" /><Relationship Type="http://schemas.openxmlformats.org/officeDocument/2006/relationships/settings" Target="/word/settings.xml" Id="R6e8191f66b464a89" /><Relationship Type="http://schemas.openxmlformats.org/officeDocument/2006/relationships/styles" Target="/word/styles.xml" Id="R8732bf1309084868" /><Relationship Type="http://schemas.openxmlformats.org/officeDocument/2006/relationships/hyperlink" Target="https://meteor.aihw.gov.au/RegistrationAuthority/3" TargetMode="External" Id="R0bc70430f8b84f24" /><Relationship Type="http://schemas.openxmlformats.org/officeDocument/2006/relationships/hyperlink" Target="https://meteor.aihw.gov.au/content/575078" TargetMode="External" Id="R4a51c51cdc1b45d7" /><Relationship Type="http://schemas.openxmlformats.org/officeDocument/2006/relationships/hyperlink" Target="https://meteor.aihw.gov.au/content/546669" TargetMode="External" Id="Re9bcfea5cf354dcf" /><Relationship Type="http://schemas.openxmlformats.org/officeDocument/2006/relationships/numbering" Target="/word/numbering.xml" Id="R7ec2b3f228a04624" /><Relationship Type="http://schemas.openxmlformats.org/officeDocument/2006/relationships/hyperlink" Target="http://amhocn.org/static/files/assets/7ceb5dda/Child_Adolescent_Manual.pdf" TargetMode="External" Id="R0df047f28da24b8a" /><Relationship Type="http://schemas.openxmlformats.org/officeDocument/2006/relationships/hyperlink" Target="https://meteor.aihw.gov.au/content/653280" TargetMode="External" Id="Re79a5167d6ab43c2" /><Relationship Type="http://schemas.openxmlformats.org/officeDocument/2006/relationships/hyperlink" Target="https://meteor.aihw.gov.au/RegistrationAuthority/12" TargetMode="External" Id="Re4a6f3d51b0b472e" /><Relationship Type="http://schemas.openxmlformats.org/officeDocument/2006/relationships/hyperlink" Target="https://meteor.aihw.gov.au/content/613880" TargetMode="External" Id="R4fa194d5e63c4016" /><Relationship Type="http://schemas.openxmlformats.org/officeDocument/2006/relationships/hyperlink" Target="https://meteor.aihw.gov.au/RegistrationAuthority/3" TargetMode="External" Id="Rbb599f38bfd645fe" /><Relationship Type="http://schemas.openxmlformats.org/officeDocument/2006/relationships/hyperlink" Target="https://meteor.aihw.gov.au/content/575027" TargetMode="External" Id="R2a33b56b2f484d64" /><Relationship Type="http://schemas.openxmlformats.org/officeDocument/2006/relationships/hyperlink" Target="https://meteor.aihw.gov.au/RegistrationAuthority/3" TargetMode="External" Id="R42be8773199d44e5" /><Relationship Type="http://schemas.openxmlformats.org/officeDocument/2006/relationships/hyperlink" Target="https://meteor.aihw.gov.au/content/575033" TargetMode="External" Id="R38e0192c0b3b48d9" /><Relationship Type="http://schemas.openxmlformats.org/officeDocument/2006/relationships/hyperlink" Target="https://meteor.aihw.gov.au/RegistrationAuthority/3" TargetMode="External" Id="Rd55bbfa68f2c44ca" /><Relationship Type="http://schemas.openxmlformats.org/officeDocument/2006/relationships/hyperlink" Target="https://meteor.aihw.gov.au/content/575036" TargetMode="External" Id="Re09067ba085d455d" /><Relationship Type="http://schemas.openxmlformats.org/officeDocument/2006/relationships/hyperlink" Target="https://meteor.aihw.gov.au/RegistrationAuthority/3" TargetMode="External" Id="R5cea2a2728cc4167" /></Relationships>
</file>

<file path=word/_rels/header1.xml.rels>&#65279;<?xml version="1.0" encoding="utf-8"?><Relationships xmlns="http://schemas.openxmlformats.org/package/2006/relationships"><Relationship Type="http://schemas.openxmlformats.org/officeDocument/2006/relationships/image" Target="/media/image.png" Id="Rece8755aea5f4883" /></Relationships>
</file>