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08348e601470b" /></Relationships>
</file>

<file path=word/document.xml><?xml version="1.0" encoding="utf-8"?>
<w:document xmlns:r="http://schemas.openxmlformats.org/officeDocument/2006/relationships" xmlns:w="http://schemas.openxmlformats.org/wordprocessingml/2006/main">
  <w:body>
    <w:p>
      <w:pPr>
        <w:pStyle w:val="Title"/>
      </w:pPr>
      <w:r>
        <w:t>Children's Global Assessment Scale score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Global Assessment Scale score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823ed2668424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disturbance in the functioning of a child or adolescent.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Children's Global Assessment Scale (CGAS) was developed to provide a measure of severity of disturbance in children and adolescents. It is designed to reflect the lowest level of functioning for a child or an adolescent during a specified period.</w:t>
            </w:r>
          </w:p>
          <w:p>
            <w:pPr>
              <w:spacing w:after="160"/>
            </w:pPr>
            <w:r>
              <w:rPr>
                <w:rStyle w:val="row-content-rich-text"/>
              </w:rPr>
              <w:t xml:space="preserve">The measure provides a single global rating only, on a scale of 1 to 100. Clinicians assign a score, with 1 representing the most functionally impaired child, and 100 the healthiest child.</w:t>
            </w:r>
          </w:p>
          <w:p>
            <w:pPr>
              <w:spacing w:after="160"/>
            </w:pPr>
            <w:r>
              <w:rPr>
                <w:rStyle w:val="row-content-rich-text"/>
              </w:rPr>
              <w:t xml:space="preserve">Scale ranges: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100-91</w:t>
                  </w:r>
                </w:p>
              </w:tc>
              <w:tc>
                <w:tcPr>
                  <w:tcW w:w="4000" w:type="pct"/>
                  <w:vAlign w:val="top"/>
                </w:tcPr>
                <w:p>
                  <w:r>
                    <w:t xml:space="preserve">Superior functioning in all areas</w:t>
                  </w:r>
                </w:p>
              </w:tc>
            </w:tr>
            <w:tr>
              <w:trPr/>
              <w:tc>
                <w:tcPr>
                  <w:tcW w:w="1000" w:type="pct"/>
                  <w:vAlign w:val="top"/>
                </w:tcPr>
                <w:p>
                  <w:r>
                    <w:t xml:space="preserve">90-81</w:t>
                  </w:r>
                </w:p>
              </w:tc>
              <w:tc>
                <w:tcPr>
                  <w:tcW w:w="4000" w:type="pct"/>
                  <w:vAlign w:val="top"/>
                </w:tcPr>
                <w:p>
                  <w:r>
                    <w:t xml:space="preserve">Good functioning in all areas</w:t>
                  </w:r>
                </w:p>
              </w:tc>
            </w:tr>
            <w:tr>
              <w:trPr/>
              <w:tc>
                <w:tcPr>
                  <w:tcW w:w="1000" w:type="pct"/>
                  <w:vAlign w:val="top"/>
                </w:tcPr>
                <w:p>
                  <w:r>
                    <w:t xml:space="preserve">80-71</w:t>
                  </w:r>
                </w:p>
              </w:tc>
              <w:tc>
                <w:tcPr>
                  <w:tcW w:w="4000" w:type="pct"/>
                  <w:vAlign w:val="top"/>
                </w:tcPr>
                <w:p>
                  <w:r>
                    <w:t xml:space="preserve">No more than slight impairments in functioning</w:t>
                  </w:r>
                </w:p>
              </w:tc>
            </w:tr>
            <w:tr>
              <w:trPr/>
              <w:tc>
                <w:tcPr>
                  <w:tcW w:w="1000" w:type="pct"/>
                  <w:vAlign w:val="top"/>
                </w:tcPr>
                <w:p>
                  <w:r>
                    <w:t xml:space="preserve">70-61</w:t>
                  </w:r>
                </w:p>
              </w:tc>
              <w:tc>
                <w:tcPr>
                  <w:tcW w:w="4000" w:type="pct"/>
                  <w:vAlign w:val="top"/>
                </w:tcPr>
                <w:p>
                  <w:r>
                    <w:t xml:space="preserve">Some difficulty in a single area but generally functioning pretty well</w:t>
                  </w:r>
                </w:p>
              </w:tc>
            </w:tr>
            <w:tr>
              <w:trPr/>
              <w:tc>
                <w:tcPr>
                  <w:tcW w:w="1000" w:type="pct"/>
                  <w:vAlign w:val="top"/>
                </w:tcPr>
                <w:p>
                  <w:r>
                    <w:t xml:space="preserve">60-51</w:t>
                  </w:r>
                </w:p>
              </w:tc>
              <w:tc>
                <w:tcPr>
                  <w:tcW w:w="4000" w:type="pct"/>
                  <w:vAlign w:val="top"/>
                </w:tcPr>
                <w:p>
                  <w:r>
                    <w:t xml:space="preserve">Variable functioning with sporadic difficulties or symptoms in several but not all social areas</w:t>
                  </w:r>
                </w:p>
              </w:tc>
            </w:tr>
            <w:tr>
              <w:trPr/>
              <w:tc>
                <w:tcPr>
                  <w:tcW w:w="1000" w:type="pct"/>
                  <w:vAlign w:val="top"/>
                </w:tcPr>
                <w:p>
                  <w:r>
                    <w:t xml:space="preserve">50-41</w:t>
                  </w:r>
                </w:p>
              </w:tc>
              <w:tc>
                <w:tcPr>
                  <w:tcW w:w="4000" w:type="pct"/>
                  <w:vAlign w:val="top"/>
                </w:tcPr>
                <w:p>
                  <w:r>
                    <w:t xml:space="preserve">Moderate interference in functioning in most social areas or severe impairment of functioning in one area</w:t>
                  </w:r>
                </w:p>
              </w:tc>
            </w:tr>
            <w:tr>
              <w:trPr/>
              <w:tc>
                <w:tcPr>
                  <w:tcW w:w="1000" w:type="pct"/>
                  <w:vAlign w:val="top"/>
                </w:tcPr>
                <w:p>
                  <w:r>
                    <w:t xml:space="preserve">40-31</w:t>
                  </w:r>
                </w:p>
              </w:tc>
              <w:tc>
                <w:tcPr>
                  <w:tcW w:w="4000" w:type="pct"/>
                  <w:vAlign w:val="top"/>
                </w:tcPr>
                <w:p>
                  <w:r>
                    <w:t xml:space="preserve">Major impairment of functioning in several areas and unable to function in one of these areas</w:t>
                  </w:r>
                </w:p>
              </w:tc>
            </w:tr>
            <w:tr>
              <w:trPr/>
              <w:tc>
                <w:tcPr>
                  <w:tcW w:w="1000" w:type="pct"/>
                  <w:vAlign w:val="top"/>
                </w:tcPr>
                <w:p>
                  <w:r>
                    <w:t xml:space="preserve">30-21</w:t>
                  </w:r>
                </w:p>
              </w:tc>
              <w:tc>
                <w:tcPr>
                  <w:tcW w:w="4000" w:type="pct"/>
                  <w:vAlign w:val="top"/>
                </w:tcPr>
                <w:p>
                  <w:r>
                    <w:t xml:space="preserve">Unable to function in almost all areas</w:t>
                  </w:r>
                </w:p>
              </w:tc>
            </w:tr>
            <w:tr>
              <w:trPr/>
              <w:tc>
                <w:tcPr>
                  <w:tcW w:w="1000" w:type="pct"/>
                  <w:vAlign w:val="top"/>
                </w:tcPr>
                <w:p>
                  <w:r>
                    <w:t xml:space="preserve">20-11</w:t>
                  </w:r>
                </w:p>
              </w:tc>
              <w:tc>
                <w:tcPr>
                  <w:tcW w:w="4000" w:type="pct"/>
                  <w:vAlign w:val="top"/>
                </w:tcPr>
                <w:p>
                  <w:r>
                    <w:t xml:space="preserve">Needs considerable supervision</w:t>
                  </w:r>
                </w:p>
              </w:tc>
            </w:tr>
            <w:tr>
              <w:trPr/>
              <w:tc>
                <w:tcPr>
                  <w:tcW w:w="1000" w:type="pct"/>
                  <w:vAlign w:val="top"/>
                </w:tcPr>
                <w:p>
                  <w:r>
                    <w:t xml:space="preserve">10-1</w:t>
                  </w:r>
                </w:p>
              </w:tc>
              <w:tc>
                <w:tcPr>
                  <w:tcW w:w="4000" w:type="pct"/>
                  <w:vAlign w:val="top"/>
                </w:tcPr>
                <w:p>
                  <w:r>
                    <w:t xml:space="preserve">Needs constant supervision</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Child &amp; Adolescent All Service Settings. Viewed 22 May 2014,</w:t>
            </w:r>
          </w:p>
          <w:p>
            <w:hyperlink w:history="true" r:id="R025d2c21c8814c1c">
              <w:r>
                <w:rPr>
                  <w:rStyle w:val="Hyperlink"/>
                </w:rPr>
                <w:t xml:space="preserve">http://amhocn.org/static/files/assets/7ceb5dda/</w:t>
              </w:r>
              <w:r>
                <w:br/>
              </w:r>
              <w:r>
                <w:rPr>
                  <w:rStyle w:val="row-content-rich-text"/>
                </w:rPr>
                <w:t xml:space="preserve">Child_Adolescent_Manual.pdf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de34e0290f4d4e">
              <w:r>
                <w:rPr>
                  <w:rStyle w:val="Hyperlink"/>
                </w:rPr>
                <w:t xml:space="preserve">Children's Global Assessment Scale score code N[NN]</w:t>
              </w:r>
            </w:hyperlink>
          </w:p>
          <w:p>
            <w:pPr>
              <w:spacing w:before="0" w:after="0"/>
            </w:pPr>
            <w:r>
              <w:rPr>
                <w:rStyle w:val="row-content"/>
                <w:color w:val="244061"/>
              </w:rPr>
              <w:t xml:space="preserve">       </w:t>
            </w:r>
            <w:hyperlink w:history="true" r:id="R9005f43250be47b5">
              <w:r>
                <w:rPr>
                  <w:rStyle w:val="Hyperlink"/>
                  <w:color w:val="244061"/>
                </w:rPr>
                <w:t xml:space="preserve">Health</w:t>
              </w:r>
            </w:hyperlink>
            <w:r>
              <w:rPr>
                <w:rStyle w:val="row-content"/>
                <w:color w:val="244061"/>
              </w:rPr>
              <w:t xml:space="preserve">, Standard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6311a9be0d4a71">
              <w:r>
                <w:rPr>
                  <w:rStyle w:val="Hyperlink"/>
                </w:rPr>
                <w:t xml:space="preserve">Person—level of psychiatric symptom severity, Children's Global Assessment Scale score code N[NN]</w:t>
              </w:r>
            </w:hyperlink>
          </w:p>
          <w:p>
            <w:pPr>
              <w:spacing w:before="0" w:after="0"/>
            </w:pPr>
            <w:r>
              <w:rPr>
                <w:rStyle w:val="row-content"/>
                <w:color w:val="244061"/>
              </w:rPr>
              <w:t xml:space="preserve">       </w:t>
            </w:r>
            <w:hyperlink w:history="true" r:id="Rcdebc5e7135e419a">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4e9d4cb589fc4424">
              <w:r>
                <w:rPr>
                  <w:rStyle w:val="Hyperlink"/>
                  <w:color w:val="244061"/>
                </w:rPr>
                <w:t xml:space="preserve">Independent Hospital Pricing Authority</w:t>
              </w:r>
            </w:hyperlink>
            <w:r>
              <w:rPr>
                <w:rStyle w:val="row-content"/>
                <w:color w:val="244061"/>
              </w:rPr>
              <w:t xml:space="preserve">, Standard 12/11/2015</w:t>
            </w:r>
          </w:p>
          <w:p>
            <w:r>
              <w:br/>
            </w:r>
          </w:p>
        </w:tc>
      </w:tr>
    </w:tbl>
    <w:p>
      <w:r>
        <w:br/>
      </w:r>
    </w:p>
    <w:sectPr>
      <w:footerReference xmlns:r="http://schemas.openxmlformats.org/officeDocument/2006/relationships" w:type="default" r:id="R0e54a5a5c55f4c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575050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c372eb62e48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4a5a5c55f4c4d" /><Relationship Type="http://schemas.openxmlformats.org/officeDocument/2006/relationships/header" Target="/word/header1.xml" Id="Rdc63da096e7c4f8f" /><Relationship Type="http://schemas.openxmlformats.org/officeDocument/2006/relationships/settings" Target="/word/settings.xml" Id="Rb48e5cd87b8d4b0b" /><Relationship Type="http://schemas.openxmlformats.org/officeDocument/2006/relationships/styles" Target="/word/styles.xml" Id="R4d658fb038a1486f" /><Relationship Type="http://schemas.openxmlformats.org/officeDocument/2006/relationships/hyperlink" Target="https://meteor.aihw.gov.au/RegistrationAuthority/3" TargetMode="External" Id="R8d3823ed26684242" /><Relationship Type="http://schemas.openxmlformats.org/officeDocument/2006/relationships/hyperlink" Target="http://amhocn.org/static/files/assets/7ceb5dda/Child_Adolescent_Manual.pdf" TargetMode="External" Id="R025d2c21c8814c1c" /><Relationship Type="http://schemas.openxmlformats.org/officeDocument/2006/relationships/hyperlink" Target="https://meteor.aihw.gov.au/content/654409" TargetMode="External" Id="R7bde34e0290f4d4e" /><Relationship Type="http://schemas.openxmlformats.org/officeDocument/2006/relationships/hyperlink" Target="https://meteor.aihw.gov.au/RegistrationAuthority/12" TargetMode="External" Id="R9005f43250be47b5" /><Relationship Type="http://schemas.openxmlformats.org/officeDocument/2006/relationships/hyperlink" Target="https://meteor.aihw.gov.au/content/575056" TargetMode="External" Id="Rb86311a9be0d4a71" /><Relationship Type="http://schemas.openxmlformats.org/officeDocument/2006/relationships/hyperlink" Target="https://meteor.aihw.gov.au/RegistrationAuthority/12" TargetMode="External" Id="Rcdebc5e7135e419a" /><Relationship Type="http://schemas.openxmlformats.org/officeDocument/2006/relationships/hyperlink" Target="https://meteor.aihw.gov.au/RegistrationAuthority/3" TargetMode="External" Id="R4e9d4cb589fc4424" /></Relationships>
</file>

<file path=word/_rels/header1.xml.rels>&#65279;<?xml version="1.0" encoding="utf-8"?><Relationships xmlns="http://schemas.openxmlformats.org/package/2006/relationships"><Relationship Type="http://schemas.openxmlformats.org/officeDocument/2006/relationships/image" Target="/media/image.png" Id="R3cfc372eb62e48c8" /></Relationships>
</file>