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90b655ce3c4358"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3823177c64f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a1bf4893548dc">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7814bccee492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f5fd3a1628443b">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2a948274f244b3">
              <w:r>
                <w:rPr>
                  <w:rStyle w:val="Hyperlink"/>
                </w:rPr>
                <w:t xml:space="preserve">Diagnosis/Procedure/Intervention classification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70b8731f4437d">
              <w:r>
                <w:rPr>
                  <w:rStyle w:val="Hyperlink"/>
                </w:rPr>
                <w:t xml:space="preserve">Diagnosis/Procedure/Intervention classification type code XXX[XXXX]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0aade0c574ca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r>
              <w:rPr>
                <w:rStyle w:val="row-content-rich-text"/>
              </w:rPr>
              <w:t xml:space="preserve">The ICPC-2 PLUS terminology is maintained and regularly updated by the Family Medicine Research Centre (FMRC), at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9ec2e01a79418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a4b8c5cf3774682">
              <w:r>
                <w:rPr>
                  <w:rStyle w:val="Hyperlink"/>
                  <w:color w:val="244061"/>
                </w:rPr>
                <w:t xml:space="preserve">WA Health</w:t>
              </w:r>
            </w:hyperlink>
            <w:r>
              <w:rPr>
                <w:rStyle w:val="row-content"/>
                <w:color w:val="244061"/>
              </w:rPr>
              <w:t xml:space="preserve">, Standard 19/03/2015</w:t>
            </w:r>
          </w:p>
          <w:p>
            <w:r>
              <w:br/>
            </w:r>
            <w:hyperlink w:history="true" r:id="R53d312ec2a83432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f090f80f91349cb">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3b3cef6394e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0736ed5ea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3cef6394e4f69" /><Relationship Type="http://schemas.openxmlformats.org/officeDocument/2006/relationships/header" Target="/word/header1.xml" Id="R13758bb3bb044967" /><Relationship Type="http://schemas.openxmlformats.org/officeDocument/2006/relationships/settings" Target="/word/settings.xml" Id="R8bbc40b0ce4341ec" /><Relationship Type="http://schemas.openxmlformats.org/officeDocument/2006/relationships/styles" Target="/word/styles.xml" Id="R72df94ed9f6547a2" /><Relationship Type="http://schemas.openxmlformats.org/officeDocument/2006/relationships/hyperlink" Target="https://meteor.aihw.gov.au/RegistrationAuthority/2" TargetMode="External" Id="R69e3823177c64f11" /><Relationship Type="http://schemas.openxmlformats.org/officeDocument/2006/relationships/hyperlink" Target="https://meteor.aihw.gov.au/content/572934" TargetMode="External" Id="R120a1bf4893548dc" /><Relationship Type="http://schemas.openxmlformats.org/officeDocument/2006/relationships/hyperlink" Target="https://meteor.aihw.gov.au/RegistrationAuthority/2" TargetMode="External" Id="R5ad7814bccee4928" /><Relationship Type="http://schemas.openxmlformats.org/officeDocument/2006/relationships/hyperlink" Target="https://meteor.aihw.gov.au/content/493314" TargetMode="External" Id="R54f5fd3a1628443b" /><Relationship Type="http://schemas.openxmlformats.org/officeDocument/2006/relationships/hyperlink" Target="https://meteor.aihw.gov.au/content/572932" TargetMode="External" Id="R842a948274f244b3" /><Relationship Type="http://schemas.openxmlformats.org/officeDocument/2006/relationships/hyperlink" Target="https://meteor.aihw.gov.au/content/573087" TargetMode="External" Id="Rb4470b8731f4437d" /><Relationship Type="http://schemas.openxmlformats.org/officeDocument/2006/relationships/hyperlink" Target="https://meteor.aihw.gov.au/RegistrationAuthority/2" TargetMode="External" Id="R8ec0aade0c574cab" /><Relationship Type="http://schemas.openxmlformats.org/officeDocument/2006/relationships/numbering" Target="/word/numbering.xml" Id="R5edc0bfa359e418f" /><Relationship Type="http://schemas.openxmlformats.org/officeDocument/2006/relationships/hyperlink" Target="https://meteor.aihw.gov.au/content/490816" TargetMode="External" Id="R619ec2e01a79418d" /><Relationship Type="http://schemas.openxmlformats.org/officeDocument/2006/relationships/hyperlink" Target="https://meteor.aihw.gov.au/RegistrationAuthority/2" TargetMode="External" Id="R1a4b8c5cf3774682" /><Relationship Type="http://schemas.openxmlformats.org/officeDocument/2006/relationships/hyperlink" Target="https://meteor.aihw.gov.au/content/605977" TargetMode="External" Id="R53d312ec2a834321" /><Relationship Type="http://schemas.openxmlformats.org/officeDocument/2006/relationships/hyperlink" Target="https://meteor.aihw.gov.au/RegistrationAuthority/2" TargetMode="External" Id="Raf090f80f91349cb" /></Relationships>
</file>

<file path=word/_rels/header1.xml.rels>&#65279;<?xml version="1.0" encoding="utf-8"?><Relationships xmlns="http://schemas.openxmlformats.org/package/2006/relationships"><Relationship Type="http://schemas.openxmlformats.org/officeDocument/2006/relationships/image" Target="/media/image.png" Id="R5110736ed5ea4bb2" /></Relationships>
</file>