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9a33eba3944a3" /></Relationships>
</file>

<file path=word/document.xml><?xml version="1.0" encoding="utf-8"?>
<w:document xmlns:r="http://schemas.openxmlformats.org/officeDocument/2006/relationships" xmlns:w="http://schemas.openxmlformats.org/wordprocessingml/2006/main">
  <w:body>
    <w:p>
      <w:pPr>
        <w:pStyle w:val="Title"/>
      </w:pPr>
      <w:r>
        <w:t>Colorectal cancer clinico-pathological stage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cancer clinico-pathological stage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Bowel cancer clinico-pathological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c31894b4942d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Invasive colorectal cancer clinico-pathological stage is defined into four summary groups (Stages I-IV) based on the pathological TNM staging system:</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750" w:type="pct"/>
                  <w:vAlign w:val="top"/>
                </w:tcPr>
                <w:p>
                  <w:pPr/>
                  <w:r>
                    <w:rPr>
                      <w:rStyle w:val="row-content-rich-text"/>
                    </w:rPr>
                    <w:t xml:space="preserve"> </w:t>
                  </w:r>
                  <w:r>
                    <w:rPr>
                      <w:rStyle w:val="row-content-rich-text"/>
                      <w:i/>
                    </w:rPr>
                    <w:t xml:space="preserve">Stage</w:t>
                  </w:r>
                </w:p>
              </w:tc>
              <w:tc>
                <w:tcPr>
                  <w:tcW w:w="1500" w:type="pct"/>
                  <w:vAlign w:val="top"/>
                </w:tcPr>
                <w:p>
                  <w:r>
                    <w:rPr>
                      <w:i/>
                    </w:rPr>
                    <w:t xml:space="preserve">T</w:t>
                  </w:r>
                </w:p>
              </w:tc>
              <w:tc>
                <w:tcPr>
                  <w:tcW w:w="1400" w:type="pct"/>
                  <w:vAlign w:val="top"/>
                </w:tcPr>
                <w:p>
                  <w:r>
                    <w:rPr>
                      <w:i/>
                    </w:rPr>
                    <w:t xml:space="preserve">N</w:t>
                  </w:r>
                </w:p>
              </w:tc>
              <w:tc>
                <w:tcPr>
                  <w:tcW w:w="1250" w:type="pct"/>
                  <w:vAlign w:val="top"/>
                </w:tcPr>
                <w:p>
                  <w:r>
                    <w:rPr>
                      <w:i/>
                    </w:rPr>
                    <w:t xml:space="preserve">M</w:t>
                  </w:r>
                </w:p>
              </w:tc>
            </w:tr>
            <w:tr>
              <w:trPr/>
              <w:tc>
                <w:tcPr>
                  <w:tcW w:w="750" w:type="pct"/>
                  <w:vAlign w:val="top"/>
                </w:tcPr>
                <w:p>
                  <w:r>
                    <w:t xml:space="preserve">Unknown</w:t>
                  </w:r>
                </w:p>
              </w:tc>
              <w:tc>
                <w:tcPr>
                  <w:tcW w:w="1500" w:type="pct"/>
                  <w:vAlign w:val="top"/>
                </w:tcPr>
                <w:p>
                  <w:r>
                    <w:t xml:space="preserve">No information provided </w:t>
                  </w:r>
                </w:p>
              </w:tc>
              <w:tc>
                <w:tcPr>
                  <w:tcW w:w="1400" w:type="pct"/>
                  <w:vAlign w:val="top"/>
                </w:tcPr>
                <w:p>
                  <w:r>
                    <w:t xml:space="preserve">No information provided </w:t>
                  </w:r>
                </w:p>
              </w:tc>
              <w:tc>
                <w:tcPr>
                  <w:tcW w:w="1250" w:type="pct"/>
                  <w:vAlign w:val="top"/>
                </w:tcPr>
                <w:p>
                  <w:r>
                    <w:t xml:space="preserve">No information provided </w:t>
                  </w:r>
                </w:p>
              </w:tc>
            </w:tr>
            <w:tr>
              <w:trPr/>
              <w:tc>
                <w:tcPr>
                  <w:tcW w:w="750" w:type="pct"/>
                  <w:vAlign w:val="top"/>
                </w:tcPr>
                <w:p>
                  <w:r>
                    <w:t xml:space="preserve">Inadequately staged</w:t>
                  </w:r>
                </w:p>
              </w:tc>
              <w:tc>
                <w:tcPr>
                  <w:tcW w:w="1500" w:type="pct"/>
                  <w:vAlign w:val="top"/>
                </w:tcPr>
                <w:p>
                  <w:r>
                    <w:t xml:space="preserve">Inadequate information provided </w:t>
                  </w:r>
                </w:p>
              </w:tc>
              <w:tc>
                <w:tcPr>
                  <w:tcW w:w="1400" w:type="pct"/>
                  <w:vAlign w:val="top"/>
                </w:tcPr>
                <w:p>
                  <w:r>
                    <w:t xml:space="preserve">Inadequate information provided </w:t>
                  </w:r>
                </w:p>
              </w:tc>
              <w:tc>
                <w:tcPr>
                  <w:tcW w:w="1250" w:type="pct"/>
                  <w:vAlign w:val="top"/>
                </w:tcPr>
                <w:p>
                  <w:r>
                    <w:t xml:space="preserve">Inadequate information provided </w:t>
                  </w:r>
                </w:p>
              </w:tc>
            </w:tr>
            <w:tr>
              <w:trPr/>
              <w:tc>
                <w:tcPr>
                  <w:tcW w:w="750" w:type="pct"/>
                  <w:vAlign w:val="top"/>
                </w:tcPr>
                <w:p>
                  <w:r>
                    <w:t xml:space="preserve">I</w:t>
                  </w:r>
                </w:p>
              </w:tc>
              <w:tc>
                <w:tcPr>
                  <w:tcW w:w="1500" w:type="pct"/>
                  <w:vAlign w:val="top"/>
                </w:tcPr>
                <w:p>
                  <w:r>
                    <w:t xml:space="preserve">T1-T2</w:t>
                  </w:r>
                </w:p>
              </w:tc>
              <w:tc>
                <w:tcPr>
                  <w:tcW w:w="1400" w:type="pct"/>
                  <w:vAlign w:val="top"/>
                </w:tcPr>
                <w:p>
                  <w:r>
                    <w:t xml:space="preserve">N0</w:t>
                  </w:r>
                </w:p>
              </w:tc>
              <w:tc>
                <w:tcPr>
                  <w:tcW w:w="1250" w:type="pct"/>
                  <w:vAlign w:val="top"/>
                </w:tcPr>
                <w:p>
                  <w:r>
                    <w:t xml:space="preserve">M0</w:t>
                  </w:r>
                </w:p>
              </w:tc>
            </w:tr>
            <w:tr>
              <w:trPr/>
              <w:tc>
                <w:tcPr>
                  <w:tcW w:w="750" w:type="pct"/>
                  <w:vAlign w:val="top"/>
                </w:tcPr>
                <w:p>
                  <w:r>
                    <w:t xml:space="preserve">II</w:t>
                  </w:r>
                </w:p>
              </w:tc>
              <w:tc>
                <w:tcPr>
                  <w:tcW w:w="1500" w:type="pct"/>
                  <w:vAlign w:val="top"/>
                </w:tcPr>
                <w:p>
                  <w:r>
                    <w:t xml:space="preserve">T2-T4</w:t>
                  </w:r>
                </w:p>
              </w:tc>
              <w:tc>
                <w:tcPr>
                  <w:tcW w:w="1400" w:type="pct"/>
                  <w:vAlign w:val="top"/>
                </w:tcPr>
                <w:p>
                  <w:r>
                    <w:t xml:space="preserve">N0</w:t>
                  </w:r>
                </w:p>
              </w:tc>
              <w:tc>
                <w:tcPr>
                  <w:tcW w:w="1250" w:type="pct"/>
                  <w:vAlign w:val="top"/>
                </w:tcPr>
                <w:p>
                  <w:r>
                    <w:t xml:space="preserve">M0</w:t>
                  </w:r>
                </w:p>
              </w:tc>
            </w:tr>
            <w:tr>
              <w:trPr/>
              <w:tc>
                <w:tcPr>
                  <w:tcW w:w="750" w:type="pct"/>
                  <w:vAlign w:val="top"/>
                </w:tcPr>
                <w:p>
                  <w:r>
                    <w:t xml:space="preserve">III</w:t>
                  </w:r>
                </w:p>
              </w:tc>
              <w:tc>
                <w:tcPr>
                  <w:tcW w:w="1500" w:type="pct"/>
                  <w:vAlign w:val="top"/>
                </w:tcPr>
                <w:p>
                  <w:r>
                    <w:t xml:space="preserve">T1-T4</w:t>
                  </w:r>
                </w:p>
              </w:tc>
              <w:tc>
                <w:tcPr>
                  <w:tcW w:w="1400" w:type="pct"/>
                  <w:vAlign w:val="top"/>
                </w:tcPr>
                <w:p>
                  <w:r>
                    <w:t xml:space="preserve">N1-N2</w:t>
                  </w:r>
                </w:p>
              </w:tc>
              <w:tc>
                <w:tcPr>
                  <w:tcW w:w="1250" w:type="pct"/>
                  <w:vAlign w:val="top"/>
                </w:tcPr>
                <w:p>
                  <w:r>
                    <w:t xml:space="preserve">M0</w:t>
                  </w:r>
                </w:p>
              </w:tc>
            </w:tr>
            <w:tr>
              <w:trPr/>
              <w:tc>
                <w:tcPr>
                  <w:tcW w:w="750" w:type="pct"/>
                  <w:vAlign w:val="top"/>
                </w:tcPr>
                <w:p>
                  <w:r>
                    <w:t xml:space="preserve">IV</w:t>
                  </w:r>
                </w:p>
              </w:tc>
              <w:tc>
                <w:tcPr>
                  <w:tcW w:w="1500" w:type="pct"/>
                  <w:vAlign w:val="top"/>
                </w:tcPr>
                <w:p>
                  <w:r>
                    <w:t xml:space="preserve">Any T</w:t>
                  </w:r>
                </w:p>
              </w:tc>
              <w:tc>
                <w:tcPr>
                  <w:tcW w:w="1400" w:type="pct"/>
                  <w:vAlign w:val="top"/>
                </w:tcPr>
                <w:p>
                  <w:r>
                    <w:t xml:space="preserve">Any N</w:t>
                  </w:r>
                </w:p>
              </w:tc>
              <w:tc>
                <w:tcPr>
                  <w:tcW w:w="1250" w:type="pct"/>
                  <w:vAlign w:val="top"/>
                </w:tcPr>
                <w:p>
                  <w:r>
                    <w:t xml:space="preserve">M1</w:t>
                  </w:r>
                </w:p>
              </w:tc>
            </w:tr>
          </w:tbl>
          <w:p>
            <w:r>
              <w:t xml:space="preserve"> </w:t>
            </w:r>
          </w:p>
          <w:p>
            <w:r>
              <w:t xml:space="preserve">The TNM staging system uses the letters 'T' to represent the tumour, 'N' to represent regional lymph node involvement and 'M' to represent distant metastases, with a numeric subscript (not subscripted in the table above) to indicate the degree of dissemination. For example, T1N0M0 designates a small localised tumour, T2N1M0 is a larger primary tumour that has extended to regional nodes, and T4N3M3 is a very large legion involving regional nodes and distant sites.</w:t>
            </w:r>
          </w:p>
          <w:p>
            <w:r>
              <w:t xml:space="preserve">Colorectal cancer is considered to have reached at least Stage III if there is any lymph node involvement, and at Stage IV if there are any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Colorectal cancer research and data analysis.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275.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6e82e92be0402d">
              <w:r>
                <w:rPr>
                  <w:rStyle w:val="Hyperlink"/>
                </w:rPr>
                <w:t xml:space="preserve">International Union against Cancer (UICC) TNM Classification of Malignant Tumours 7th edition</w:t>
              </w:r>
            </w:hyperlink>
          </w:p>
          <w:p>
            <w:pPr>
              <w:spacing w:before="0" w:after="0"/>
            </w:pPr>
            <w:r>
              <w:rPr>
                <w:rStyle w:val="row-content"/>
                <w:color w:val="244061"/>
              </w:rPr>
              <w:t xml:space="preserve">       </w:t>
            </w:r>
            <w:hyperlink w:history="true" r:id="Ra4f72eeead4e43b3">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359a58aed3e436a">
              <w:r>
                <w:rPr>
                  <w:rStyle w:val="Hyperlink"/>
                </w:rPr>
                <w:t xml:space="preserve">Union for International Cancer Control (UICC) TNM Classification of Malignant Tumours 8th edition</w:t>
              </w:r>
            </w:hyperlink>
          </w:p>
          <w:p>
            <w:pPr>
              <w:spacing w:before="0" w:after="0"/>
            </w:pPr>
            <w:r>
              <w:rPr>
                <w:rStyle w:val="row-content"/>
                <w:color w:val="244061"/>
              </w:rPr>
              <w:t xml:space="preserve">       </w:t>
            </w:r>
            <w:hyperlink w:history="true" r:id="R08e3ffe68517455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78738493a894e34">
              <w:r>
                <w:rPr>
                  <w:rStyle w:val="Hyperlink"/>
                </w:rPr>
                <w:t xml:space="preserve">Bowel cancer diagnosed cluster</w:t>
              </w:r>
            </w:hyperlink>
          </w:p>
          <w:p>
            <w:pPr>
              <w:spacing w:before="0" w:after="0"/>
            </w:pPr>
            <w:r>
              <w:rPr>
                <w:rStyle w:val="row-content"/>
                <w:color w:val="244061"/>
              </w:rPr>
              <w:t xml:space="preserve">       </w:t>
            </w:r>
            <w:hyperlink w:history="true" r:id="Rd6570edf58e64b28">
              <w:r>
                <w:rPr>
                  <w:rStyle w:val="Hyperlink"/>
                  <w:color w:val="244061"/>
                </w:rPr>
                <w:t xml:space="preserve">Health</w:t>
              </w:r>
            </w:hyperlink>
            <w:r>
              <w:rPr>
                <w:rStyle w:val="row-content"/>
                <w:color w:val="244061"/>
              </w:rPr>
              <w:t xml:space="preserve">, Standard 05/02/2021</w:t>
            </w:r>
          </w:p>
          <w:p>
            <w:r>
              <w:br/>
            </w:r>
            <w:hyperlink w:history="true" r:id="Ra08fb2e910034266">
              <w:r>
                <w:rPr>
                  <w:rStyle w:val="Hyperlink"/>
                </w:rPr>
                <w:t xml:space="preserve">Bowel cancer diagnosed cluster</w:t>
              </w:r>
            </w:hyperlink>
          </w:p>
          <w:p>
            <w:pPr>
              <w:spacing w:before="0" w:after="0"/>
            </w:pPr>
            <w:r>
              <w:rPr>
                <w:rStyle w:val="row-content"/>
                <w:color w:val="244061"/>
              </w:rPr>
              <w:t xml:space="preserve">       </w:t>
            </w:r>
            <w:hyperlink w:history="true" r:id="R4b0ae22d7dcf4ef3">
              <w:r>
                <w:rPr>
                  <w:rStyle w:val="Hyperlink"/>
                  <w:color w:val="244061"/>
                </w:rPr>
                <w:t xml:space="preserve">Health</w:t>
              </w:r>
            </w:hyperlink>
            <w:r>
              <w:rPr>
                <w:rStyle w:val="row-content"/>
                <w:color w:val="244061"/>
              </w:rPr>
              <w:t xml:space="preserve">, Superseded 06/09/2018</w:t>
            </w:r>
          </w:p>
          <w:p>
            <w:r>
              <w:br/>
            </w:r>
            <w:hyperlink w:history="true" r:id="Rd3d3e5c1672948e1">
              <w:r>
                <w:rPr>
                  <w:rStyle w:val="Hyperlink"/>
                </w:rPr>
                <w:t xml:space="preserve">Bowel cancer diagnosed cluster</w:t>
              </w:r>
            </w:hyperlink>
          </w:p>
          <w:p>
            <w:pPr>
              <w:spacing w:before="0" w:after="0"/>
            </w:pPr>
            <w:r>
              <w:rPr>
                <w:rStyle w:val="row-content"/>
                <w:color w:val="244061"/>
              </w:rPr>
              <w:t xml:space="preserve">       </w:t>
            </w:r>
            <w:hyperlink w:history="true" r:id="R539390e4d1ee46a6">
              <w:r>
                <w:rPr>
                  <w:rStyle w:val="Hyperlink"/>
                  <w:color w:val="244061"/>
                </w:rPr>
                <w:t xml:space="preserve">Health</w:t>
              </w:r>
            </w:hyperlink>
            <w:r>
              <w:rPr>
                <w:rStyle w:val="row-content"/>
                <w:color w:val="244061"/>
              </w:rPr>
              <w:t xml:space="preserve">, Superseded 16/01/2020</w:t>
            </w:r>
          </w:p>
          <w:p>
            <w:r>
              <w:br/>
            </w:r>
            <w:hyperlink w:history="true" r:id="R8d033cd518de40d9">
              <w:r>
                <w:rPr>
                  <w:rStyle w:val="Hyperlink"/>
                </w:rPr>
                <w:t xml:space="preserve">Bowel cancer diagnosed cluster</w:t>
              </w:r>
            </w:hyperlink>
          </w:p>
          <w:p>
            <w:pPr>
              <w:spacing w:before="0" w:after="0"/>
            </w:pPr>
            <w:r>
              <w:rPr>
                <w:rStyle w:val="row-content"/>
                <w:color w:val="244061"/>
              </w:rPr>
              <w:t xml:space="preserve">       </w:t>
            </w:r>
            <w:hyperlink w:history="true" r:id="R81ff4f4b16054fee">
              <w:r>
                <w:rPr>
                  <w:rStyle w:val="Hyperlink"/>
                  <w:color w:val="244061"/>
                </w:rPr>
                <w:t xml:space="preserve">Health</w:t>
              </w:r>
            </w:hyperlink>
            <w:r>
              <w:rPr>
                <w:rStyle w:val="row-content"/>
                <w:color w:val="244061"/>
              </w:rPr>
              <w:t xml:space="preserve">, Superseded 05/02/2021</w:t>
            </w:r>
          </w:p>
          <w:p>
            <w:r>
              <w:br/>
            </w:r>
            <w:hyperlink w:history="true" r:id="R567290621b3e4b1a">
              <w:r>
                <w:rPr>
                  <w:rStyle w:val="Hyperlink"/>
                </w:rPr>
                <w:t xml:space="preserve">National Bowel Cancer Screening Program NBEDS 2014-18</w:t>
              </w:r>
            </w:hyperlink>
          </w:p>
          <w:p>
            <w:pPr>
              <w:spacing w:before="0" w:after="0"/>
            </w:pPr>
            <w:r>
              <w:rPr>
                <w:rStyle w:val="row-content"/>
                <w:color w:val="244061"/>
              </w:rPr>
              <w:t xml:space="preserve">       </w:t>
            </w:r>
            <w:hyperlink w:history="true" r:id="Rcd3a12339fd44d85">
              <w:r>
                <w:rPr>
                  <w:rStyle w:val="Hyperlink"/>
                  <w:color w:val="244061"/>
                </w:rPr>
                <w:t xml:space="preserve">Health</w:t>
              </w:r>
            </w:hyperlink>
            <w:r>
              <w:rPr>
                <w:rStyle w:val="row-content"/>
                <w:color w:val="244061"/>
              </w:rPr>
              <w:t xml:space="preserve">, Superseded 06/09/2018</w:t>
            </w:r>
          </w:p>
          <w:p>
            <w:r>
              <w:br/>
            </w:r>
            <w:hyperlink w:history="true" r:id="R37d7a62e6e644e03">
              <w:r>
                <w:rPr>
                  <w:rStyle w:val="Hyperlink"/>
                </w:rPr>
                <w:t xml:space="preserve">National Bowel Cancer Screening Program NBEDS 2018–19</w:t>
              </w:r>
            </w:hyperlink>
          </w:p>
          <w:p>
            <w:pPr>
              <w:spacing w:before="0" w:after="0"/>
            </w:pPr>
            <w:r>
              <w:rPr>
                <w:rStyle w:val="row-content"/>
                <w:color w:val="244061"/>
              </w:rPr>
              <w:t xml:space="preserve">       </w:t>
            </w:r>
            <w:hyperlink w:history="true" r:id="Rcaf120e9de174818">
              <w:r>
                <w:rPr>
                  <w:rStyle w:val="Hyperlink"/>
                  <w:color w:val="244061"/>
                </w:rPr>
                <w:t xml:space="preserve">Health</w:t>
              </w:r>
            </w:hyperlink>
            <w:r>
              <w:rPr>
                <w:rStyle w:val="row-content"/>
                <w:color w:val="244061"/>
              </w:rPr>
              <w:t xml:space="preserve">, Superseded 12/12/2018</w:t>
            </w:r>
          </w:p>
          <w:p>
            <w:r>
              <w:br/>
            </w:r>
            <w:hyperlink w:history="true" r:id="R7844c79604774bfa">
              <w:r>
                <w:rPr>
                  <w:rStyle w:val="Hyperlink"/>
                </w:rPr>
                <w:t xml:space="preserve">National Bowel Cancer Screening Program NBEDS 2019–20</w:t>
              </w:r>
            </w:hyperlink>
          </w:p>
          <w:p>
            <w:pPr>
              <w:spacing w:before="0" w:after="0"/>
            </w:pPr>
            <w:r>
              <w:rPr>
                <w:rStyle w:val="row-content"/>
                <w:color w:val="244061"/>
              </w:rPr>
              <w:t xml:space="preserve">       </w:t>
            </w:r>
            <w:hyperlink w:history="true" r:id="Rd7cd7f856c844f50">
              <w:r>
                <w:rPr>
                  <w:rStyle w:val="Hyperlink"/>
                  <w:color w:val="244061"/>
                </w:rPr>
                <w:t xml:space="preserve">Health</w:t>
              </w:r>
            </w:hyperlink>
            <w:r>
              <w:rPr>
                <w:rStyle w:val="row-content"/>
                <w:color w:val="244061"/>
              </w:rPr>
              <w:t xml:space="preserve">, Superseded 16/01/2020</w:t>
            </w:r>
          </w:p>
          <w:p>
            <w:r>
              <w:br/>
            </w:r>
            <w:hyperlink w:history="true" r:id="Rfcb825b824ff4f74">
              <w:r>
                <w:rPr>
                  <w:rStyle w:val="Hyperlink"/>
                </w:rPr>
                <w:t xml:space="preserve">National Bowel Cancer Screening Program NBEDS 2020–21</w:t>
              </w:r>
            </w:hyperlink>
          </w:p>
          <w:p>
            <w:pPr>
              <w:spacing w:before="0" w:after="0"/>
            </w:pPr>
            <w:r>
              <w:rPr>
                <w:rStyle w:val="row-content"/>
                <w:color w:val="244061"/>
              </w:rPr>
              <w:t xml:space="preserve">       </w:t>
            </w:r>
            <w:hyperlink w:history="true" r:id="Rca0699370ce641ba">
              <w:r>
                <w:rPr>
                  <w:rStyle w:val="Hyperlink"/>
                  <w:color w:val="244061"/>
                </w:rPr>
                <w:t xml:space="preserve">Health</w:t>
              </w:r>
            </w:hyperlink>
            <w:r>
              <w:rPr>
                <w:rStyle w:val="row-content"/>
                <w:color w:val="244061"/>
              </w:rPr>
              <w:t xml:space="preserve">, Superseded 05/02/2021</w:t>
            </w:r>
          </w:p>
          <w:p>
            <w:r>
              <w:br/>
            </w:r>
            <w:hyperlink w:history="true" r:id="R602f964d4efc4faf">
              <w:r>
                <w:rPr>
                  <w:rStyle w:val="Hyperlink"/>
                </w:rPr>
                <w:t xml:space="preserve">National Bowel Cancer Screening Program NBEDS 2021–22</w:t>
              </w:r>
            </w:hyperlink>
          </w:p>
          <w:p>
            <w:pPr>
              <w:spacing w:before="0" w:after="0"/>
            </w:pPr>
            <w:r>
              <w:rPr>
                <w:rStyle w:val="row-content"/>
                <w:color w:val="244061"/>
              </w:rPr>
              <w:t xml:space="preserve">       </w:t>
            </w:r>
            <w:hyperlink w:history="true" r:id="Rc1638a23a412464a">
              <w:r>
                <w:rPr>
                  <w:rStyle w:val="Hyperlink"/>
                  <w:color w:val="244061"/>
                </w:rPr>
                <w:t xml:space="preserve">Health</w:t>
              </w:r>
            </w:hyperlink>
            <w:r>
              <w:rPr>
                <w:rStyle w:val="row-content"/>
                <w:color w:val="244061"/>
              </w:rPr>
              <w:t xml:space="preserve">, Superseded 17/12/2021</w:t>
            </w:r>
          </w:p>
          <w:p>
            <w:r>
              <w:br/>
            </w:r>
            <w:hyperlink w:history="true" r:id="R20e94d3aa58b440d">
              <w:r>
                <w:rPr>
                  <w:rStyle w:val="Hyperlink"/>
                </w:rPr>
                <w:t xml:space="preserve">National Bowel Cancer Screening Program NBEDS 2022–23</w:t>
              </w:r>
            </w:hyperlink>
          </w:p>
          <w:p>
            <w:pPr>
              <w:spacing w:before="0" w:after="0"/>
            </w:pPr>
            <w:r>
              <w:rPr>
                <w:rStyle w:val="row-content"/>
                <w:color w:val="244061"/>
              </w:rPr>
              <w:t xml:space="preserve">       </w:t>
            </w:r>
            <w:hyperlink w:history="true" r:id="Re2dde8f5d9b84bf9">
              <w:r>
                <w:rPr>
                  <w:rStyle w:val="Hyperlink"/>
                  <w:color w:val="244061"/>
                </w:rPr>
                <w:t xml:space="preserve">Health</w:t>
              </w:r>
            </w:hyperlink>
            <w:r>
              <w:rPr>
                <w:rStyle w:val="row-content"/>
                <w:color w:val="244061"/>
              </w:rPr>
              <w:t xml:space="preserve">, Superseded 09/12/2022</w:t>
            </w:r>
          </w:p>
          <w:p>
            <w:r>
              <w:br/>
            </w:r>
            <w:hyperlink w:history="true" r:id="R8166561bee724519">
              <w:r>
                <w:rPr>
                  <w:rStyle w:val="Hyperlink"/>
                </w:rPr>
                <w:t xml:space="preserve">National Bowel Cancer Screening Program NBEDS 2023–24</w:t>
              </w:r>
            </w:hyperlink>
          </w:p>
          <w:p>
            <w:pPr>
              <w:spacing w:before="0" w:after="0"/>
            </w:pPr>
            <w:r>
              <w:rPr>
                <w:rStyle w:val="row-content"/>
                <w:color w:val="244061"/>
              </w:rPr>
              <w:t xml:space="preserve">       </w:t>
            </w:r>
            <w:hyperlink w:history="true" r:id="R2425d88337e34f9a">
              <w:r>
                <w:rPr>
                  <w:rStyle w:val="Hyperlink"/>
                  <w:color w:val="244061"/>
                </w:rPr>
                <w:t xml:space="preserve">Health</w:t>
              </w:r>
            </w:hyperlink>
            <w:r>
              <w:rPr>
                <w:rStyle w:val="row-content"/>
                <w:color w:val="244061"/>
              </w:rPr>
              <w:t xml:space="preserve">, Standard 09/12/2022</w:t>
            </w:r>
          </w:p>
          <w:p>
            <w:r>
              <w:br/>
            </w:r>
            <w:hyperlink w:history="true" r:id="Rc86acc264c054f64">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4cbdf11de93e4ccd">
              <w:r>
                <w:rPr>
                  <w:rStyle w:val="Hyperlink"/>
                  <w:color w:val="244061"/>
                </w:rPr>
                <w:t xml:space="preserve">Health</w:t>
              </w:r>
            </w:hyperlink>
            <w:r>
              <w:rPr>
                <w:rStyle w:val="row-content"/>
                <w:color w:val="244061"/>
              </w:rPr>
              <w:t xml:space="preserve">, Superseded 06/09/2018</w:t>
            </w:r>
          </w:p>
          <w:p>
            <w:r>
              <w:br/>
            </w:r>
            <w:hyperlink w:history="true" r:id="Rcbb0ce3b52384813">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9c91b1e131b04347">
              <w:r>
                <w:rPr>
                  <w:rStyle w:val="Hyperlink"/>
                  <w:color w:val="244061"/>
                </w:rPr>
                <w:t xml:space="preserve">Health</w:t>
              </w:r>
            </w:hyperlink>
            <w:r>
              <w:rPr>
                <w:rStyle w:val="row-content"/>
                <w:color w:val="244061"/>
              </w:rPr>
              <w:t xml:space="preserve">, Standard 06/09/2018</w:t>
            </w:r>
          </w:p>
          <w:p>
            <w:r>
              <w:br/>
            </w:r>
            <w:hyperlink w:history="true" r:id="R68fd50d5aec34569">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7a40ed88bded43ce">
              <w:r>
                <w:rPr>
                  <w:rStyle w:val="Hyperlink"/>
                  <w:color w:val="244061"/>
                </w:rPr>
                <w:t xml:space="preserve">Health</w:t>
              </w:r>
            </w:hyperlink>
            <w:r>
              <w:rPr>
                <w:rStyle w:val="row-content"/>
                <w:color w:val="244061"/>
              </w:rPr>
              <w:t xml:space="preserve">, Superseded 06/09/2018</w:t>
            </w:r>
          </w:p>
          <w:p>
            <w:r>
              <w:br/>
            </w:r>
            <w:hyperlink w:history="true" r:id="Ra31342ef3c6f4b11">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7e620fe90f2a45e1">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5f15a5957487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569264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0f63b2613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5a595748741e2" /><Relationship Type="http://schemas.openxmlformats.org/officeDocument/2006/relationships/header" Target="/word/header1.xml" Id="R57da857ebf284a1e" /><Relationship Type="http://schemas.openxmlformats.org/officeDocument/2006/relationships/settings" Target="/word/settings.xml" Id="R69475cf5dfb942c9" /><Relationship Type="http://schemas.openxmlformats.org/officeDocument/2006/relationships/styles" Target="/word/styles.xml" Id="Rc455b0183acf45d0" /><Relationship Type="http://schemas.openxmlformats.org/officeDocument/2006/relationships/hyperlink" Target="https://meteor.aihw.gov.au/RegistrationAuthority/12" TargetMode="External" Id="Rb83c31894b4942d9" /><Relationship Type="http://schemas.openxmlformats.org/officeDocument/2006/relationships/hyperlink" Target="https://meteor.aihw.gov.au/content/403583" TargetMode="External" Id="R416e82e92be0402d" /><Relationship Type="http://schemas.openxmlformats.org/officeDocument/2006/relationships/hyperlink" Target="https://meteor.aihw.gov.au/RegistrationAuthority/12" TargetMode="External" Id="Ra4f72eeead4e43b3" /><Relationship Type="http://schemas.openxmlformats.org/officeDocument/2006/relationships/hyperlink" Target="https://meteor.aihw.gov.au/content/719664" TargetMode="External" Id="Rf359a58aed3e436a" /><Relationship Type="http://schemas.openxmlformats.org/officeDocument/2006/relationships/hyperlink" Target="https://meteor.aihw.gov.au/RegistrationAuthority/12" TargetMode="External" Id="R08e3ffe685174554" /><Relationship Type="http://schemas.openxmlformats.org/officeDocument/2006/relationships/hyperlink" Target="https://meteor.aihw.gov.au/content/732518" TargetMode="External" Id="Rc78738493a894e34" /><Relationship Type="http://schemas.openxmlformats.org/officeDocument/2006/relationships/hyperlink" Target="https://meteor.aihw.gov.au/RegistrationAuthority/12" TargetMode="External" Id="Rd6570edf58e64b28" /><Relationship Type="http://schemas.openxmlformats.org/officeDocument/2006/relationships/hyperlink" Target="https://meteor.aihw.gov.au/content/567581" TargetMode="External" Id="Ra08fb2e910034266" /><Relationship Type="http://schemas.openxmlformats.org/officeDocument/2006/relationships/hyperlink" Target="https://meteor.aihw.gov.au/RegistrationAuthority/12" TargetMode="External" Id="R4b0ae22d7dcf4ef3" /><Relationship Type="http://schemas.openxmlformats.org/officeDocument/2006/relationships/hyperlink" Target="https://meteor.aihw.gov.au/content/695155" TargetMode="External" Id="Rd3d3e5c1672948e1" /><Relationship Type="http://schemas.openxmlformats.org/officeDocument/2006/relationships/hyperlink" Target="https://meteor.aihw.gov.au/RegistrationAuthority/12" TargetMode="External" Id="R539390e4d1ee46a6" /><Relationship Type="http://schemas.openxmlformats.org/officeDocument/2006/relationships/hyperlink" Target="https://meteor.aihw.gov.au/content/719775" TargetMode="External" Id="R8d033cd518de40d9" /><Relationship Type="http://schemas.openxmlformats.org/officeDocument/2006/relationships/hyperlink" Target="https://meteor.aihw.gov.au/RegistrationAuthority/12" TargetMode="External" Id="R81ff4f4b16054fee" /><Relationship Type="http://schemas.openxmlformats.org/officeDocument/2006/relationships/hyperlink" Target="https://meteor.aihw.gov.au/content/529201" TargetMode="External" Id="R567290621b3e4b1a" /><Relationship Type="http://schemas.openxmlformats.org/officeDocument/2006/relationships/hyperlink" Target="https://meteor.aihw.gov.au/RegistrationAuthority/12" TargetMode="External" Id="Rcd3a12339fd44d85" /><Relationship Type="http://schemas.openxmlformats.org/officeDocument/2006/relationships/hyperlink" Target="https://meteor.aihw.gov.au/content/694107" TargetMode="External" Id="R37d7a62e6e644e03" /><Relationship Type="http://schemas.openxmlformats.org/officeDocument/2006/relationships/hyperlink" Target="https://meteor.aihw.gov.au/RegistrationAuthority/12" TargetMode="External" Id="Rcaf120e9de174818" /><Relationship Type="http://schemas.openxmlformats.org/officeDocument/2006/relationships/hyperlink" Target="https://meteor.aihw.gov.au/content/707481" TargetMode="External" Id="R7844c79604774bfa" /><Relationship Type="http://schemas.openxmlformats.org/officeDocument/2006/relationships/hyperlink" Target="https://meteor.aihw.gov.au/RegistrationAuthority/12" TargetMode="External" Id="Rd7cd7f856c844f50" /><Relationship Type="http://schemas.openxmlformats.org/officeDocument/2006/relationships/hyperlink" Target="https://meteor.aihw.gov.au/content/715323" TargetMode="External" Id="Rfcb825b824ff4f74" /><Relationship Type="http://schemas.openxmlformats.org/officeDocument/2006/relationships/hyperlink" Target="https://meteor.aihw.gov.au/RegistrationAuthority/12" TargetMode="External" Id="Rca0699370ce641ba" /><Relationship Type="http://schemas.openxmlformats.org/officeDocument/2006/relationships/hyperlink" Target="https://meteor.aihw.gov.au/content/727407" TargetMode="External" Id="R602f964d4efc4faf" /><Relationship Type="http://schemas.openxmlformats.org/officeDocument/2006/relationships/hyperlink" Target="https://meteor.aihw.gov.au/RegistrationAuthority/12" TargetMode="External" Id="Rc1638a23a412464a" /><Relationship Type="http://schemas.openxmlformats.org/officeDocument/2006/relationships/hyperlink" Target="https://meteor.aihw.gov.au/content/742048" TargetMode="External" Id="R20e94d3aa58b440d" /><Relationship Type="http://schemas.openxmlformats.org/officeDocument/2006/relationships/hyperlink" Target="https://meteor.aihw.gov.au/RegistrationAuthority/12" TargetMode="External" Id="Re2dde8f5d9b84bf9" /><Relationship Type="http://schemas.openxmlformats.org/officeDocument/2006/relationships/hyperlink" Target="https://meteor.aihw.gov.au/content/756105" TargetMode="External" Id="R8166561bee724519" /><Relationship Type="http://schemas.openxmlformats.org/officeDocument/2006/relationships/hyperlink" Target="https://meteor.aihw.gov.au/RegistrationAuthority/12" TargetMode="External" Id="R2425d88337e34f9a" /><Relationship Type="http://schemas.openxmlformats.org/officeDocument/2006/relationships/hyperlink" Target="https://meteor.aihw.gov.au/content/533361" TargetMode="External" Id="Rc86acc264c054f64" /><Relationship Type="http://schemas.openxmlformats.org/officeDocument/2006/relationships/hyperlink" Target="https://meteor.aihw.gov.au/RegistrationAuthority/12" TargetMode="External" Id="R4cbdf11de93e4ccd" /><Relationship Type="http://schemas.openxmlformats.org/officeDocument/2006/relationships/hyperlink" Target="https://meteor.aihw.gov.au/content/694151" TargetMode="External" Id="Rcbb0ce3b52384813" /><Relationship Type="http://schemas.openxmlformats.org/officeDocument/2006/relationships/hyperlink" Target="https://meteor.aihw.gov.au/RegistrationAuthority/12" TargetMode="External" Id="R9c91b1e131b04347" /><Relationship Type="http://schemas.openxmlformats.org/officeDocument/2006/relationships/hyperlink" Target="https://meteor.aihw.gov.au/content/533407" TargetMode="External" Id="R68fd50d5aec34569" /><Relationship Type="http://schemas.openxmlformats.org/officeDocument/2006/relationships/hyperlink" Target="https://meteor.aihw.gov.au/RegistrationAuthority/12" TargetMode="External" Id="R7a40ed88bded43ce" /><Relationship Type="http://schemas.openxmlformats.org/officeDocument/2006/relationships/hyperlink" Target="https://meteor.aihw.gov.au/content/694183" TargetMode="External" Id="Ra31342ef3c6f4b11" /><Relationship Type="http://schemas.openxmlformats.org/officeDocument/2006/relationships/hyperlink" Target="https://meteor.aihw.gov.au/RegistrationAuthority/12" TargetMode="External" Id="R7e620fe90f2a45e1" /></Relationships>
</file>

<file path=word/_rels/header1.xml.rels>&#65279;<?xml version="1.0" encoding="utf-8"?><Relationships xmlns="http://schemas.openxmlformats.org/package/2006/relationships"><Relationship Type="http://schemas.openxmlformats.org/officeDocument/2006/relationships/image" Target="/media/image.png" Id="Rd5a0f63b26134ad5" /></Relationships>
</file>