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47836dc8e644de"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23a7c37e04cd6">
              <w:r>
                <w:rPr>
                  <w:rStyle w:val="Hyperlink"/>
                  <w:color w:val="244061"/>
                </w:rPr>
                <w:t xml:space="preserve">AIHW Data Quality Statements</w:t>
              </w:r>
            </w:hyperlink>
            <w:r>
              <w:rPr>
                <w:rStyle w:val="row-content"/>
                <w:color w:val="244061"/>
              </w:rPr>
              <w:t xml:space="preserve">, Superseded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 </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pStyle w:val="ListParagraph"/>
              <w:numPr>
                <w:ilvl w:val="0"/>
                <w:numId w:val="2"/>
              </w:numPr>
            </w:pPr>
            <w:r>
              <w:rPr>
                <w:rStyle w:val="row-content-rich-text"/>
              </w:rPr>
              <w:t xml:space="preserve">For 2012–13, almost all public hospitals provided data for the NHMD. The exception was a mothercraft hospital in the Australian Capital Territory. The great majority of private hospitals also provided data, the exceptions being the private free-standing day hospital facilities in the Australian Capital Territory, the single private free-standing day hospital in the Northern Territory, and a private free-standing day hospital in Victoria.</w:t>
            </w:r>
          </w:p>
          <w:p>
            <w:pPr>
              <w:pStyle w:val="ListParagraph"/>
              <w:numPr>
                <w:ilvl w:val="0"/>
                <w:numId w:val="2"/>
              </w:numPr>
            </w:pPr>
            <w:r>
              <w:rPr>
                <w:rStyle w:val="row-content-rich-text"/>
              </w:rPr>
              <w:t xml:space="preserve">Hospitals may be re-categorised as public or private between or within years.</w:t>
            </w:r>
          </w:p>
          <w:p>
            <w:pPr>
              <w:pStyle w:val="ListParagraph"/>
              <w:numPr>
                <w:ilvl w:val="0"/>
                <w:numId w:val="2"/>
              </w:numPr>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 </w:t>
            </w:r>
          </w:p>
          <w:p>
            <w:pPr>
              <w:pStyle w:val="ListParagraph"/>
              <w:numPr>
                <w:ilvl w:val="0"/>
                <w:numId w:val="2"/>
              </w:numPr>
            </w:pPr>
            <w:r>
              <w:rPr>
                <w:rStyle w:val="row-content-rich-text"/>
              </w:rPr>
              <w:t xml:space="preserve">There was variation between states and territories in the reporting of separations for Newborns (without qualified days). </w:t>
            </w:r>
          </w:p>
          <w:p>
            <w:pPr>
              <w:pStyle w:val="ListParagraph"/>
              <w:numPr>
                <w:ilvl w:val="0"/>
                <w:numId w:val="2"/>
              </w:numPr>
            </w:pPr>
            <w:r>
              <w:rPr>
                <w:rStyle w:val="row-content-rich-text"/>
              </w:rPr>
              <w:t xml:space="preserve">Data on state of hospitalisation should be interpreted with caution because of cross-border flows of patients. This is particularly the case for the Australian Capital Territory. In 2012–13, about 20%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Caution should be used in comparing diagnosis, procedure and external cause data over time, as the classifications and coding standards for those data can change over time. In particular, between 2009-10 and 2010–11, there were significant changes in the coding of diagnoses for diabetes and obstetrics and for imaging procedures. There were also significant changes made to coding practices for diabetes and related conditions for the 2012-13 year, resulting in increased counts for these conditions.</w:t>
            </w:r>
          </w:p>
          <w:p>
            <w:pPr>
              <w:pStyle w:val="ListParagraph"/>
              <w:numPr>
                <w:ilvl w:val="0"/>
                <w:numId w:val="2"/>
              </w:numPr>
            </w:pPr>
            <w:r>
              <w:rPr>
                <w:rStyle w:val="row-content-rich-text"/>
              </w:rPr>
              <w:t xml:space="preserve">The Indigenous status data in the NHMD for all states and territories are considered of sufficient quality for statistical reporting for 2010–11, 2011–12 and 2012–13. In 2011–12, an estimated 88% of Indigenous patients were correctly identified in public hospitals. The overall quality of the data provided for Indigenous status is considered to be in need of some improvement and varied between states and territories. </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2012–13, diagnoses and external causes of injury and poisoning were recorded using the seventh edition of the International statistical classification of diseases and related health problems, 10th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2012–13.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4772b8937064357">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2e9136b58a2c4f6e">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This includes records for admitted patient separations between 1 July 2012 and 30 June 2013.</w:t>
            </w:r>
          </w:p>
          <w:p>
            <w:pPr/>
            <w:r>
              <w:rPr>
                <w:rStyle w:val="row-content-rich-text"/>
              </w:rPr>
              <w:t xml:space="preserve">The agreed date for supply of a first version of data (based on best efforts) was 30 November 2013. Four states and territories provided a first version of 2012-13 data to the AIHW at the end of November 2013 and all had provided their first version by 6 January 2014. All states and territories had provided a final version of the data by 28 February 2014. The data were published on 30 April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74271ec057234a5c">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0877f5bbf2874a43">
              <w:r>
                <w:rPr>
                  <w:rStyle w:val="Hyperlink"/>
                </w:rPr>
                <w:t xml:space="preserve">/content/index.phtml/itemId/181162</w:t>
              </w:r>
            </w:hyperlink>
          </w:p>
          <w:p>
            <w:hyperlink w:history="true" r:id="R08f18fa98a20439b">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w:t>
            </w:r>
          </w:p>
          <w:p>
            <w:pPr>
              <w:spacing w:after="160"/>
            </w:pPr>
            <w:r>
              <w:rPr>
                <w:rStyle w:val="row-content-rich-text"/>
              </w:rPr>
              <w:t xml:space="preserve">For 20012–13, principal diagnosis information was not provided for approximately 3,500 public hospital separations and 1,400 private hospital separations.</w:t>
            </w:r>
          </w:p>
          <w:p>
            <w:pPr>
              <w:spacing w:after="160"/>
            </w:pPr>
            <w:r>
              <w:rPr>
                <w:rStyle w:val="row-content-rich-text"/>
              </w:rPr>
              <w:t xml:space="preserve">There was variation between states and territories in the reporting of separations for Newborns (without qualified days). For 2012–13:</w:t>
            </w:r>
          </w:p>
          <w:p>
            <w:pPr>
              <w:pStyle w:val="ListParagraph"/>
              <w:numPr>
                <w:ilvl w:val="0"/>
                <w:numId w:val="3"/>
              </w:numPr>
            </w:pPr>
            <w:r>
              <w:rPr>
                <w:rStyle w:val="row-content-rich-text"/>
              </w:rPr>
              <w:t xml:space="preserve">Private hospitals in Victoria did not report most Newborn episodes without qualified days; therefore the count of newborns will be underestimated. </w:t>
            </w:r>
          </w:p>
          <w:p>
            <w:pPr>
              <w:pStyle w:val="ListParagraph"/>
              <w:numPr>
                <w:ilvl w:val="0"/>
                <w:numId w:val="3"/>
              </w:numPr>
            </w:pPr>
            <w:r>
              <w:rPr>
                <w:rStyle w:val="row-content-rich-text"/>
              </w:rPr>
              <w:t xml:space="preserve">South Australian private hospitals are not required to provide records for Newborn episodes without qualified days.</w:t>
            </w:r>
          </w:p>
          <w:p>
            <w:pPr>
              <w:spacing w:after="160"/>
            </w:pPr>
            <w:r>
              <w:rPr>
                <w:rStyle w:val="row-content-rich-text"/>
              </w:rPr>
              <w:t xml:space="preserve">While the Indigenous status data in the NHMD for all states and territories are considered of sufficient quality for statistical reporting for 2010–11, 2011­–12 and 2012–13,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2012–13.</w:t>
            </w:r>
          </w:p>
          <w:p>
            <w:pPr>
              <w:spacing w:after="160"/>
            </w:pPr>
            <w:r>
              <w:rPr>
                <w:rStyle w:val="row-content-rich-text"/>
              </w:rPr>
              <w:t xml:space="preserve">The data reported for 2012–13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2010–11 and 2011–12, there were substantial increases in counts of Newborn episodes of care with qualified days for New South Wales due to changes in reporting practices. For 2012­–13, counts of Newborns for New South Wales hospitals were consistent with 2011­–12.</w:t>
            </w:r>
          </w:p>
          <w:p>
            <w:pPr/>
            <w:r>
              <w:rPr>
                <w:rStyle w:val="row-content-rich-text"/>
              </w:rPr>
              <w:t xml:space="preserve">Changes in the ICD-10-AM/ACHI classifications and the associated Australian Coding Standards may affect the comparability of the data over time. In particular, between 2009-10 and 2010–11, there were significant changes in the coding of diagnoses for diabetes and obstetrics and for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068c6c170d43d3">
              <w:r>
                <w:rPr>
                  <w:rStyle w:val="Hyperlink"/>
                </w:rPr>
                <w:t xml:space="preserve">Data quality statement: National Hospital Morbidity Database 2011–12</w:t>
              </w:r>
            </w:hyperlink>
          </w:p>
          <w:p>
            <w:pPr>
              <w:spacing w:before="0" w:after="0"/>
            </w:pPr>
            <w:r>
              <w:rPr>
                <w:rStyle w:val="row-content"/>
                <w:color w:val="244061"/>
              </w:rPr>
              <w:t xml:space="preserve">       </w:t>
            </w:r>
            <w:hyperlink w:history="true" r:id="R8b0338c53c674c90">
              <w:r>
                <w:rPr>
                  <w:rStyle w:val="Hyperlink"/>
                  <w:color w:val="244061"/>
                </w:rPr>
                <w:t xml:space="preserve">AIHW Data Quality Statements</w:t>
              </w:r>
            </w:hyperlink>
            <w:r>
              <w:rPr>
                <w:rStyle w:val="row-content"/>
                <w:color w:val="244061"/>
              </w:rPr>
              <w:t xml:space="preserve">, Superseded 02/05/2014</w:t>
            </w:r>
          </w:p>
          <w:p>
            <w:r>
              <w:br/>
            </w:r>
            <w:r>
              <w:rPr>
                <w:rStyle w:val="row-content"/>
              </w:rPr>
              <w:t xml:space="preserve">Has been superseded by </w:t>
            </w:r>
            <w:hyperlink w:history="true" r:id="R3eea7db7f20740ce">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3bdce352c8d64611">
              <w:r>
                <w:rPr>
                  <w:rStyle w:val="Hyperlink"/>
                  <w:color w:val="244061"/>
                </w:rPr>
                <w:t xml:space="preserve">AIHW Data Quality Statements</w:t>
              </w:r>
            </w:hyperlink>
            <w:r>
              <w:rPr>
                <w:rStyle w:val="row-content"/>
                <w:color w:val="244061"/>
              </w:rPr>
              <w:t xml:space="preserve">, Standard 03/06/2015</w:t>
            </w:r>
          </w:p>
          <w:p>
            <w:r>
              <w:br/>
            </w:r>
          </w:p>
        </w:tc>
      </w:tr>
    </w:tbl>
    <w:p>
      <w:r>
        <w:br/>
      </w:r>
    </w:p>
    <w:sectPr>
      <w:footerReference xmlns:r="http://schemas.openxmlformats.org/officeDocument/2006/relationships" w:type="default" r:id="R87ddd87a12e6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092460d1d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dd87a12e644c0" /><Relationship Type="http://schemas.openxmlformats.org/officeDocument/2006/relationships/header" Target="/word/header1.xml" Id="R516418d735a2436a" /><Relationship Type="http://schemas.openxmlformats.org/officeDocument/2006/relationships/settings" Target="/word/settings.xml" Id="R1a53eff211884f02" /><Relationship Type="http://schemas.openxmlformats.org/officeDocument/2006/relationships/styles" Target="/word/styles.xml" Id="R3ad34e5786b1470a" /><Relationship Type="http://schemas.openxmlformats.org/officeDocument/2006/relationships/hyperlink" Target="https://meteor.aihw.gov.au/RegistrationAuthority/5" TargetMode="External" Id="R5c423a7c37e04cd6" /><Relationship Type="http://schemas.openxmlformats.org/officeDocument/2006/relationships/numbering" Target="/word/numbering.xml" Id="R14248c4102cc4c99" /><Relationship Type="http://schemas.openxmlformats.org/officeDocument/2006/relationships/hyperlink" Target="http://www.aihw.gov.au" TargetMode="External" Id="R84772b8937064357" /><Relationship Type="http://schemas.openxmlformats.org/officeDocument/2006/relationships/hyperlink" Target="https://meteor.aihw.gov.au/content/182135" TargetMode="External" Id="R2e9136b58a2c4f6e" /><Relationship Type="http://schemas.openxmlformats.org/officeDocument/2006/relationships/hyperlink" Target="http://www.aihw.gov.au/hospitals/" TargetMode="External" Id="R74271ec057234a5c" /><Relationship Type="http://schemas.openxmlformats.org/officeDocument/2006/relationships/hyperlink" Target="https://meteor.aihw.gov.au/content/181162" TargetMode="External" Id="R0877f5bbf2874a43" /><Relationship Type="http://schemas.openxmlformats.org/officeDocument/2006/relationships/hyperlink" Target="http://www.aihw.gov.au/publication-detail/?id=6442468385" TargetMode="External" Id="R08f18fa98a20439b" /><Relationship Type="http://schemas.openxmlformats.org/officeDocument/2006/relationships/hyperlink" Target="https://meteor.aihw.gov.au/content/529483" TargetMode="External" Id="Rab068c6c170d43d3" /><Relationship Type="http://schemas.openxmlformats.org/officeDocument/2006/relationships/hyperlink" Target="https://meteor.aihw.gov.au/RegistrationAuthority/5" TargetMode="External" Id="R8b0338c53c674c90" /><Relationship Type="http://schemas.openxmlformats.org/officeDocument/2006/relationships/hyperlink" Target="https://meteor.aihw.gov.au/content/611030" TargetMode="External" Id="R3eea7db7f20740ce" /><Relationship Type="http://schemas.openxmlformats.org/officeDocument/2006/relationships/hyperlink" Target="https://meteor.aihw.gov.au/RegistrationAuthority/5" TargetMode="External" Id="R3bdce352c8d64611" /></Relationships>
</file>

<file path=word/_rels/header1.xml.rels>&#65279;<?xml version="1.0" encoding="utf-8"?><Relationships xmlns="http://schemas.openxmlformats.org/package/2006/relationships"><Relationship Type="http://schemas.openxmlformats.org/officeDocument/2006/relationships/image" Target="/media/image.png" Id="Ra17092460d1d4cde" /></Relationships>
</file>