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0af6c523e4d8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clinical health care related activities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clinical health care related activities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6f9ee71c84fa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clinical health care related activities undertaken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Management of other chronic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24 hour emergency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Outreach clinic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Dialysis services on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inpatient visits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Clinical services to 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Clinical services to women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Clinical services to youth in custody/remand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Card system patient files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Keep track of clients needing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Computerised medical record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Immunisation and vaccination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Service maintains health registers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Collection of additional data for clinical population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Clinical practice guidelines utilised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Shared care arrangements for management of people with chronic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Formal client feedback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Antenatal shared care arrangements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Discharge planning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Traditional healing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Bush tucker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Bush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Other traditional health care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Outreach clinic services</w:t>
            </w:r>
          </w:p>
          <w:p>
            <w:pPr>
              <w:spacing w:after="160"/>
            </w:pPr>
            <w:r>
              <w:rPr>
                <w:rStyle w:val="row-content-rich-text"/>
              </w:rPr>
              <w:t xml:space="preserve">Includes health care at outstation visits, park clinics and satellite clinics.</w:t>
            </w:r>
          </w:p>
          <w:p>
            <w:pPr>
              <w:spacing w:after="160"/>
            </w:pPr>
            <w:r>
              <w:rPr>
                <w:rStyle w:val="row-content-rich-text"/>
              </w:rPr>
              <w:t xml:space="preserve">CODE 8  Dental care</w:t>
            </w:r>
          </w:p>
          <w:p>
            <w:pPr>
              <w:spacing w:after="160"/>
            </w:pPr>
            <w:r>
              <w:rPr>
                <w:rStyle w:val="row-content-rich-text"/>
              </w:rPr>
              <w:t xml:space="preserve">Includes care provided by a dentist, dental therapist and oral health education.</w:t>
            </w:r>
          </w:p>
          <w:p>
            <w:pPr>
              <w:spacing w:after="160"/>
            </w:pPr>
            <w:r>
              <w:rPr>
                <w:rStyle w:val="row-content-rich-text"/>
              </w:rPr>
              <w:t xml:space="preserve">CODE 15  Keep track of clients needing follow-up</w:t>
            </w:r>
          </w:p>
          <w:p>
            <w:pPr>
              <w:spacing w:after="160"/>
            </w:pPr>
            <w:r>
              <w:rPr>
                <w:rStyle w:val="row-content-rich-text"/>
              </w:rPr>
              <w:t xml:space="preserve">Includes the use of monitoring sheets and/or follow-up files.</w:t>
            </w:r>
          </w:p>
          <w:p>
            <w:pPr>
              <w:spacing w:after="160"/>
            </w:pPr>
            <w:r>
              <w:rPr>
                <w:rStyle w:val="row-content-rich-text"/>
              </w:rPr>
              <w:t xml:space="preserve">CODE 18  Service maintains health registers</w:t>
            </w:r>
          </w:p>
          <w:p>
            <w:pPr>
              <w:spacing w:after="160"/>
            </w:pPr>
            <w:r>
              <w:rPr>
                <w:rStyle w:val="row-content-rich-text"/>
              </w:rPr>
              <w:t xml:space="preserve">Includes chronic disease registers.</w:t>
            </w:r>
          </w:p>
          <w:p>
            <w:pPr>
              <w:spacing w:after="160"/>
            </w:pPr>
            <w:r>
              <w:rPr>
                <w:rStyle w:val="row-content-rich-text"/>
              </w:rPr>
              <w:t xml:space="preserve">CODE 20  Clinical practice guidelines utilised</w:t>
            </w:r>
          </w:p>
          <w:p>
            <w:pPr>
              <w:spacing w:after="160"/>
            </w:pPr>
            <w:r>
              <w:rPr>
                <w:rStyle w:val="row-content-rich-text"/>
              </w:rPr>
              <w:t xml:space="preserve">Includes the Central Australian Rural Practitioners Association (CARPA) and diabetes guidelines.</w:t>
            </w:r>
          </w:p>
          <w:p>
            <w:pPr>
              <w:spacing w:after="160"/>
            </w:pPr>
            <w:r>
              <w:rPr>
                <w:rStyle w:val="row-content-rich-text"/>
              </w:rPr>
              <w:t xml:space="preserve">CODE 21  Shared care arrangements for management of people with chronic conditions</w:t>
            </w:r>
          </w:p>
          <w:p>
            <w:pPr>
              <w:spacing w:after="160"/>
            </w:pPr>
            <w:r>
              <w:rPr>
                <w:rStyle w:val="row-content-rich-text"/>
              </w:rPr>
              <w:t xml:space="preserve">Includes shared care arrangements between the service and hospitals, specialists etc.</w:t>
            </w:r>
          </w:p>
          <w:p>
            <w:pPr>
              <w:spacing w:after="160"/>
            </w:pPr>
            <w:r>
              <w:rPr>
                <w:rStyle w:val="row-content-rich-text"/>
              </w:rPr>
              <w:t xml:space="preserve">CODE 24  Discharge planning between your service and hospital(s)</w:t>
            </w:r>
          </w:p>
          <w:p>
            <w:pPr/>
            <w:r>
              <w:rPr>
                <w:rStyle w:val="row-content-rich-text"/>
              </w:rPr>
              <w:t xml:space="preserve">Includes provision of medicines, transport and liaison with GP and 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392de1421a48a0">
              <w:r>
                <w:rPr>
                  <w:rStyle w:val="Hyperlink"/>
                </w:rPr>
                <w:t xml:space="preserve">Service provider organisation—service activity type, Aboriginal and Torres Strait Islander primary health-care services clinical health care related activities code N[N]</w:t>
              </w:r>
            </w:hyperlink>
          </w:p>
          <w:p>
            <w:pPr>
              <w:spacing w:before="0" w:after="0"/>
            </w:pPr>
            <w:r>
              <w:rPr>
                <w:rStyle w:val="row-content"/>
                <w:color w:val="244061"/>
              </w:rPr>
              <w:t xml:space="preserve">       </w:t>
            </w:r>
            <w:hyperlink w:history="true" r:id="R1892bc88533c4c0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ed2fc650fab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20159cb94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d2fc650fab4d91" /><Relationship Type="http://schemas.openxmlformats.org/officeDocument/2006/relationships/header" Target="/word/header1.xml" Id="R72225e3016ab4b47" /><Relationship Type="http://schemas.openxmlformats.org/officeDocument/2006/relationships/settings" Target="/word/settings.xml" Id="R58ba84d1150545ba" /><Relationship Type="http://schemas.openxmlformats.org/officeDocument/2006/relationships/styles" Target="/word/styles.xml" Id="R12d9b50f07f6418f" /><Relationship Type="http://schemas.openxmlformats.org/officeDocument/2006/relationships/hyperlink" Target="https://meteor.aihw.gov.au/RegistrationAuthority/6" TargetMode="External" Id="Rfe76f9ee71c84fa4" /><Relationship Type="http://schemas.openxmlformats.org/officeDocument/2006/relationships/hyperlink" Target="https://meteor.aihw.gov.au/content/568352" TargetMode="External" Id="Rf4392de1421a48a0" /><Relationship Type="http://schemas.openxmlformats.org/officeDocument/2006/relationships/hyperlink" Target="https://meteor.aihw.gov.au/RegistrationAuthority/6" TargetMode="External" Id="R1892bc88533c4c0a" /></Relationships>
</file>

<file path=word/_rels/header1.xml.rels>&#65279;<?xml version="1.0" encoding="utf-8"?><Relationships xmlns="http://schemas.openxmlformats.org/package/2006/relationships"><Relationship Type="http://schemas.openxmlformats.org/officeDocument/2006/relationships/image" Target="/media/image.png" Id="R14d20159cb9448f0" /></Relationships>
</file>