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309226bc15444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12 Attainment of Year 12 or equivalent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b6c8549864b16">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is collected by the ABS under the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w:t>
            </w:r>
          </w:p>
          <w:p>
            <w:pPr>
              <w:spacing w:after="160"/>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client.services@abs.gov.au.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Australian Standard Classification of Education (ASCED) (cat. no. 1272.0).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per cent. This means over 98 per cent of all people in Australia on Census night were counted; this was an improvement of 1% on the undercount from 2006.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Overall, the non-response rate for Highest Year of School Completed in the 2011 Census was 8.4 per cent (down from 9.9 per cent in 2006). An estimated 1 per cent of responses were incorrect; in these cases responses are accepted in the order they appear on the form and extra responses are rejected. Non-response rate for the Non-School Qualification: Level of Education variable in the 2011 Census was 2.6 per cent (down from 3.8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spacing w:after="160"/>
            </w:pPr>
            <w:r>
              <w:rPr>
                <w:rStyle w:val="row-content-rich-text"/>
              </w:rPr>
              <w:t xml:space="preserve">Additional data on not stated responses for this indicator by Indigenous Status for 2006 and 2011 are provided in Appendix tables below.</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(cat. no. 1272.0)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National Aboriginal and Torres Strait Islander Health Survey and Survey of Education and Work (cat. no. 6227.0)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560789b8a94b34">
              <w:r>
                <w:rPr>
                  <w:rStyle w:val="Hyperlink"/>
                </w:rPr>
                <w:t xml:space="preserve">National Indigenous Reform Agreement: PI 12a-Attainment of Year 12 or equivalent (Census data), 2013 QS</w:t>
              </w:r>
            </w:hyperlink>
          </w:p>
          <w:p>
            <w:pPr>
              <w:spacing w:before="0" w:after="0"/>
            </w:pPr>
            <w:r>
              <w:rPr>
                <w:rStyle w:val="row-content"/>
                <w:color w:val="244061"/>
              </w:rPr>
              <w:t xml:space="preserve">       </w:t>
            </w:r>
            <w:hyperlink w:history="true" r:id="R93df1a0c0a5f4037">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9cb48667b4d44614">
              <w:r>
                <w:rPr>
                  <w:rStyle w:val="Hyperlink"/>
                </w:rPr>
                <w:t xml:space="preserve">National Indigenous Reform Agreement: PI 12a-Attainment of Year 12 or equivalent (Census data), 2015-16; Quality Statement</w:t>
              </w:r>
            </w:hyperlink>
          </w:p>
          <w:p>
            <w:pPr>
              <w:spacing w:before="0" w:after="0"/>
            </w:pPr>
            <w:r>
              <w:rPr>
                <w:rStyle w:val="row-content"/>
                <w:color w:val="244061"/>
              </w:rPr>
              <w:t xml:space="preserve">       </w:t>
            </w:r>
            <w:hyperlink w:history="true" r:id="Rddd5a124df1c4d85">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7d793071bb84d78">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aacf125cc1054544">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eeab46014910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9bfd5f6a4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ab46014910486d" /><Relationship Type="http://schemas.openxmlformats.org/officeDocument/2006/relationships/header" Target="/word/header1.xml" Id="R2f49d395d5e0443d" /><Relationship Type="http://schemas.openxmlformats.org/officeDocument/2006/relationships/settings" Target="/word/settings.xml" Id="Rf351fc14f9564d0f" /><Relationship Type="http://schemas.openxmlformats.org/officeDocument/2006/relationships/styles" Target="/word/styles.xml" Id="R37d82d1be81f4bea" /><Relationship Type="http://schemas.openxmlformats.org/officeDocument/2006/relationships/hyperlink" Target="https://meteor.aihw.gov.au/RegistrationAuthority/6" TargetMode="External" Id="Rf8bb6c8549864b16" /><Relationship Type="http://schemas.openxmlformats.org/officeDocument/2006/relationships/hyperlink" Target="https://meteor.aihw.gov.au/content/523393" TargetMode="External" Id="Re5560789b8a94b34" /><Relationship Type="http://schemas.openxmlformats.org/officeDocument/2006/relationships/hyperlink" Target="https://meteor.aihw.gov.au/RegistrationAuthority/6" TargetMode="External" Id="R93df1a0c0a5f4037" /><Relationship Type="http://schemas.openxmlformats.org/officeDocument/2006/relationships/hyperlink" Target="https://meteor.aihw.gov.au/content/664698" TargetMode="External" Id="R9cb48667b4d44614" /><Relationship Type="http://schemas.openxmlformats.org/officeDocument/2006/relationships/hyperlink" Target="https://meteor.aihw.gov.au/RegistrationAuthority/6" TargetMode="External" Id="Rddd5a124df1c4d85" /><Relationship Type="http://schemas.openxmlformats.org/officeDocument/2006/relationships/hyperlink" Target="https://meteor.aihw.gov.au/content/525821" TargetMode="External" Id="Rb7d793071bb84d78" /><Relationship Type="http://schemas.openxmlformats.org/officeDocument/2006/relationships/hyperlink" Target="https://meteor.aihw.gov.au/RegistrationAuthority/6" TargetMode="External" Id="Raacf125cc1054544" /></Relationships>
</file>

<file path=word/_rels/header1.xml.rels>&#65279;<?xml version="1.0" encoding="utf-8"?><Relationships xmlns="http://schemas.openxmlformats.org/package/2006/relationships"><Relationship Type="http://schemas.openxmlformats.org/officeDocument/2006/relationships/image" Target="/media/image.png" Id="R8669bfd5f6a44904" /></Relationships>
</file>