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1a1b23712f4a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9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ce8ee85354cd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pPr>
              <w:spacing w:after="160"/>
            </w:pPr>
            <w:r>
              <w:rPr>
                <w:rStyle w:val="row-content-rich-text"/>
              </w:rPr>
              <w:t xml:space="preserve">In 2011, information about number of antenatal visits was available for New South Wales, Queensland, South Australia, Tasmania, the Australian Capital Territory and the Northern Territory only. Number of antenatal visits were collected using non-standardised definitions and with variable response rates. Comparisons between jurisdictions should therefore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spacing w:after="160"/>
            </w:pPr>
            <w:r>
              <w:rPr>
                <w:rStyle w:val="row-content-rich-text"/>
              </w:rPr>
              <w:t xml:space="preserve">This indicator consists of two parts:</w:t>
            </w:r>
          </w:p>
          <w:p>
            <w:pPr>
              <w:spacing w:after="160"/>
            </w:pPr>
            <w:r>
              <w:rPr>
                <w:rStyle w:val="row-content-rich-text"/>
              </w:rPr>
              <w:t xml:space="preserve">PART A: The number of women who gave birth, where an antenatal visit was reported in the first trimester as a proportion of women who gave birth. First trimester is defined as before 14 weeks of pregnancy.</w:t>
            </w:r>
          </w:p>
          <w:p>
            <w:pPr>
              <w:spacing w:after="160"/>
            </w:pPr>
            <w:r>
              <w:rPr>
                <w:rStyle w:val="row-content-rich-text"/>
              </w:rPr>
              <w:t xml:space="preserve">Numerator — Number of women who gave birth who attended at least one antenatal visit in the first trimester for at least one live or stillborn baby</w:t>
            </w:r>
          </w:p>
          <w:p>
            <w:pPr>
              <w:spacing w:after="160"/>
            </w:pPr>
            <w:r>
              <w:rPr>
                <w:rStyle w:val="row-content-rich-text"/>
              </w:rPr>
              <w:t xml:space="preserve">Denominator — Total number of women who gave birth to at least one live or stillborn baby (where gestation at first antenatal visit is known)</w:t>
            </w:r>
          </w:p>
          <w:p>
            <w:pPr>
              <w:spacing w:after="160"/>
            </w:pPr>
            <w:r>
              <w:rPr>
                <w:rStyle w:val="row-content-rich-text"/>
              </w:rPr>
              <w:t xml:space="preserve">Calculation: 100 × (Numerator ÷ Denominator)</w:t>
            </w:r>
          </w:p>
          <w:p>
            <w:pPr>
              <w:spacing w:after="160"/>
            </w:pPr>
            <w:r>
              <w:rPr>
                <w:rStyle w:val="row-content-rich-text"/>
              </w:rPr>
              <w:t xml:space="preserve">PART B: The number of women who gave birth where 5 or more antenatal visits were reported, as a proportion of women who gave birth.</w:t>
            </w:r>
          </w:p>
          <w:p>
            <w:pPr>
              <w:spacing w:after="160"/>
            </w:pPr>
            <w:r>
              <w:rPr>
                <w:rStyle w:val="row-content-rich-text"/>
              </w:rPr>
              <w:t xml:space="preserve">Numerator — Number of women who gave birth where at least 5 antenatal visits were reported for pregnancy of 32 or more weeks gestation, for at least one live or stillborn baby</w:t>
            </w:r>
          </w:p>
          <w:p>
            <w:pPr>
              <w:spacing w:after="160"/>
            </w:pPr>
            <w:r>
              <w:rPr>
                <w:rStyle w:val="row-content-rich-text"/>
              </w:rPr>
              <w:t xml:space="preserve">Denominator — Total number of women who gave birth at 32 or more weeks gestation, for at least one live or stillborn baby (where number of antenatal visits is known).</w:t>
            </w:r>
          </w:p>
          <w:p>
            <w:pPr>
              <w:spacing w:after="160"/>
            </w:pPr>
            <w:r>
              <w:rPr>
                <w:rStyle w:val="row-content-rich-text"/>
              </w:rPr>
              <w:t xml:space="preserve">Calculation is 100 × (Numerator ÷ Denominator)</w:t>
            </w:r>
          </w:p>
          <w:p>
            <w:pPr>
              <w:spacing w:after="160"/>
            </w:pPr>
            <w:r>
              <w:rPr>
                <w:rStyle w:val="row-content-rich-text"/>
              </w:rPr>
              <w:t xml:space="preserve">Crude and age-standardised rates (directly age-standardised to the total number of women who gave birth in Australia in the reference period using 5 year age groups from 15-19 to 40-44 years) are presented. Rate ratios and rate differences are presented as additional statistics.</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rPr>
              <w:t xml:space="preserve">Crude rate:</w:t>
            </w:r>
          </w:p>
          <w:p>
            <w:pPr>
              <w:spacing w:after="160"/>
            </w:pPr>
            <w:r>
              <w:rPr>
                <w:rStyle w:val="row-content-rich-text"/>
              </w:rPr>
              <w:t xml:space="preserve">Where n=denominator for PART A or PART B (see denominators above).</w:t>
            </w:r>
          </w:p>
          <w:p>
            <w:pPr>
              <w:spacing w:after="160"/>
            </w:pPr>
            <w:r>
              <w:rPr>
                <w:rStyle w:val="row-content-rich-text"/>
              </w:rPr>
              <w:t xml:space="preserve">Age-standardised rate:</w:t>
            </w:r>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PART A or PART B in age group I (see numerators above)</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PART A or PART B respectively in the population in age group i.</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w:t>
            </w:r>
            <w:r>
              <w:rPr>
                <w:rStyle w:val="row-content-rich-text"/>
                <w:i/>
              </w:rPr>
              <w:t xml:space="preserve">Australia’s mothers and babies</w:t>
            </w:r>
            <w:r>
              <w:rPr>
                <w:rStyle w:val="row-content-rich-text"/>
              </w:rPr>
              <w:t xml:space="preserve">; and biennially in the </w:t>
            </w:r>
            <w:r>
              <w:rPr>
                <w:rStyle w:val="row-content-rich-text"/>
                <w:i/>
              </w:rPr>
              <w:t xml:space="preserve">Aboriginal and Torres Strait Islander Health Performance Framework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spacing w:after="160"/>
            </w:pPr>
            <w:r>
              <w:rPr>
                <w:rStyle w:val="row-content-rich-text"/>
              </w:rPr>
              <w:t xml:space="preserve">Metadata information for this indicator are published in the AIHW’s online 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The Perinatal NMDS includes information on gestational age at first antenatal visit for births from July 2010. In 2011, data reported on number of women who gave birth who attended at least one antenatal visit in the first trimester are available for all states and territories. For births before July 2010 data collection is not consistent across jurisdictions. Caution should be used when interpreting these results.</w:t>
            </w:r>
          </w:p>
          <w:p>
            <w:pPr>
              <w:spacing w:after="160"/>
            </w:pPr>
            <w:r>
              <w:rPr>
                <w:rStyle w:val="row-content-rich-text"/>
              </w:rPr>
              <w:t xml:space="preserve">The Perinatal NMDS did not include number of antenatal visits data items in 2011 and national data are not currently available. Therefore, data are not available for all states and territories. Data reported on number of antenatal visits are for New South Wales, Queensland, South Australia, Tasmania, the Australian Capital Territory and the Northern Territory.  Totals reported for this indicator are not generalisable to Australia. A standard data item to collect the number of antenatal visits data items will be introduced to the Perinatal data set specification (DSS) from July 2012.</w:t>
            </w:r>
          </w:p>
          <w:p>
            <w:pPr>
              <w:spacing w:after="160"/>
            </w:pPr>
            <w:r>
              <w:rPr>
                <w:rStyle w:val="row-content-rich-text"/>
              </w:rPr>
              <w:t xml:space="preserve">Information collected on antenatal care differs among the jurisdictions. Comparisons between states and territories should therefore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Analysis by state/territory is based on the usual residence of the mother. Excludes Australian non-residents of external territories and where the state/territory of residence was not stated.</w:t>
            </w:r>
          </w:p>
          <w:p>
            <w:pPr>
              <w:spacing w:after="160"/>
            </w:pPr>
            <w:r>
              <w:rPr>
                <w:rStyle w:val="row-content-rich-text"/>
              </w:rPr>
              <w:t xml:space="preserve">Data excludes records with missing data for gestation at first antenatal visit.</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NPDC by Victoria to prepare this indicator was not the final data. Further minor changes to the data are unlikely to produce any detectable change to the indicator.</w:t>
            </w:r>
          </w:p>
          <w:p>
            <w:pPr>
              <w:spacing w:after="160"/>
            </w:pPr>
            <w:r>
              <w:rPr>
                <w:rStyle w:val="row-content-rich-text"/>
              </w:rPr>
              <w:t xml:space="preserve">The method for collecting data for the item ‘gestational age at first antenatal visit’ was revised by NT to improve data accuracy. The revised method was applied retrospectively for NT 2007-2010 data. Updated data for this data item were used to produce tables by remoteness.</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pPr>
              <w:spacing w:after="160"/>
            </w:pPr>
            <w:r>
              <w:rPr>
                <w:rStyle w:val="row-content-rich-text"/>
              </w:rPr>
              <w:t xml:space="preserve">Data reported for 2011 on number of women who gave birth who attended at least one antenatal visit in the first trimester are available for all states and territories. Data reported for 2010 on number of antenatal visits are for New South Wales, Queensland, South Australia, Tasmania, the Australian Capital Territory and the Northern Territory only. Residents of these jurisdictions who gave birth in a different jurisdiction would not have data on antenatal care.</w:t>
            </w:r>
          </w:p>
          <w:p>
            <w:pPr>
              <w:spacing w:after="160"/>
            </w:pPr>
            <w:r>
              <w:rPr>
                <w:rStyle w:val="row-content-rich-text"/>
              </w:rPr>
              <w:t xml:space="preserve">Proportions of records missing antenatal care information on whether the first visit was in the first trimester are very different for women who resided in New South Wales (3.0 per cent), Victoria (1.2 per cent), Queensland (1.2 per cent), the Australian Capital Territory (0.2 per cent) and the Northern Territory (1.0 per cent) compared with South Australia (7.1 per cent), Western Australia (11.8 per cent), and Tasmania (22.0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06add3edff4eb4">
              <w:r>
                <w:rPr>
                  <w:rStyle w:val="Hyperlink"/>
                </w:rPr>
                <w:t xml:space="preserve">National Indigenous Reform Agreement: PI 09-Antenatal care, 2013 QS</w:t>
              </w:r>
            </w:hyperlink>
          </w:p>
          <w:p>
            <w:pPr>
              <w:spacing w:before="0" w:after="0"/>
            </w:pPr>
            <w:r>
              <w:rPr>
                <w:rStyle w:val="row-content"/>
                <w:color w:val="244061"/>
              </w:rPr>
              <w:t xml:space="preserve">       </w:t>
            </w:r>
            <w:hyperlink w:history="true" r:id="R0718add72c1b4b74">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2aa1505055654948">
              <w:r>
                <w:rPr>
                  <w:rStyle w:val="Hyperlink"/>
                </w:rPr>
                <w:t xml:space="preserve">National Indigenous Reform Agreement: PI 09—Antenatal care, 2015, Quality Statement</w:t>
              </w:r>
            </w:hyperlink>
          </w:p>
          <w:p>
            <w:pPr>
              <w:spacing w:before="0" w:after="0"/>
            </w:pPr>
            <w:r>
              <w:rPr>
                <w:rStyle w:val="row-content"/>
                <w:color w:val="244061"/>
              </w:rPr>
              <w:t xml:space="preserve">       </w:t>
            </w:r>
            <w:hyperlink w:history="true" r:id="R23d1f3e419d54763">
              <w:r>
                <w:rPr>
                  <w:rStyle w:val="Hyperlink"/>
                  <w:color w:val="244061"/>
                </w:rPr>
                <w:t xml:space="preserve">Indigenous</w:t>
              </w:r>
            </w:hyperlink>
            <w:r>
              <w:rPr>
                <w:rStyle w:val="row-content"/>
                <w:color w:val="244061"/>
              </w:rPr>
              <w:t xml:space="preserve">, Superseded 07/02/2017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75c5c574d7546c3">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eef2c4da3bc5490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17a3abbfae31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70a287712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3abbfae314c3a" /><Relationship Type="http://schemas.openxmlformats.org/officeDocument/2006/relationships/header" Target="/word/header1.xml" Id="R49f66e6b3c49442e" /><Relationship Type="http://schemas.openxmlformats.org/officeDocument/2006/relationships/settings" Target="/word/settings.xml" Id="R0d419b775f7d4267" /><Relationship Type="http://schemas.openxmlformats.org/officeDocument/2006/relationships/styles" Target="/word/styles.xml" Id="Re44b087a67ef4674" /><Relationship Type="http://schemas.openxmlformats.org/officeDocument/2006/relationships/hyperlink" Target="https://meteor.aihw.gov.au/RegistrationAuthority/6" TargetMode="External" Id="R5b6ce8ee85354cdc" /><Relationship Type="http://schemas.openxmlformats.org/officeDocument/2006/relationships/numbering" Target="/word/numbering.xml" Id="Rae706db5c9e445dd" /><Relationship Type="http://schemas.openxmlformats.org/officeDocument/2006/relationships/hyperlink" Target="https://meteor.aihw.gov.au/content/523334" TargetMode="External" Id="R9806add3edff4eb4" /><Relationship Type="http://schemas.openxmlformats.org/officeDocument/2006/relationships/hyperlink" Target="https://meteor.aihw.gov.au/RegistrationAuthority/6" TargetMode="External" Id="R0718add72c1b4b74" /><Relationship Type="http://schemas.openxmlformats.org/officeDocument/2006/relationships/hyperlink" Target="https://meteor.aihw.gov.au/content/593463" TargetMode="External" Id="R2aa1505055654948" /><Relationship Type="http://schemas.openxmlformats.org/officeDocument/2006/relationships/hyperlink" Target="https://meteor.aihw.gov.au/RegistrationAuthority/6" TargetMode="External" Id="R23d1f3e419d54763" /><Relationship Type="http://schemas.openxmlformats.org/officeDocument/2006/relationships/hyperlink" Target="https://meteor.aihw.gov.au/content/525833" TargetMode="External" Id="Rf75c5c574d7546c3" /><Relationship Type="http://schemas.openxmlformats.org/officeDocument/2006/relationships/hyperlink" Target="https://meteor.aihw.gov.au/RegistrationAuthority/6" TargetMode="External" Id="Reef2c4da3bc54900" /></Relationships>
</file>

<file path=word/_rels/header1.xml.rels>&#65279;<?xml version="1.0" encoding="utf-8"?><Relationships xmlns="http://schemas.openxmlformats.org/package/2006/relationships"><Relationship Type="http://schemas.openxmlformats.org/officeDocument/2006/relationships/image" Target="/media/image.png" Id="Rc9c70a28771244c8" /></Relationships>
</file>